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C7B" w:rsidP="00BC66DA" w:rsidRDefault="00277562" w14:paraId="13CF7195" w14:textId="061D70E3">
      <w:pPr>
        <w:pStyle w:val="Heading1"/>
      </w:pPr>
      <w:r>
        <w:t>Community Health Worker:</w:t>
      </w:r>
      <w:r w:rsidR="0070013F">
        <w:t xml:space="preserve"> </w:t>
      </w:r>
      <w:r w:rsidR="00AF6F91">
        <w:t>Responding</w:t>
      </w:r>
      <w:r w:rsidR="009C0982">
        <w:t xml:space="preserve"> to</w:t>
      </w:r>
      <w:r w:rsidR="00AF6F91">
        <w:t xml:space="preserve"> </w:t>
      </w:r>
      <w:r w:rsidR="00BC66DA">
        <w:t>Elevated Venous Blood lead Tests Procedure</w:t>
      </w:r>
    </w:p>
    <w:p w:rsidR="00BC66DA" w:rsidP="00BC66DA" w:rsidRDefault="00BC66DA" w14:paraId="06456C1E" w14:textId="4C3C85D5">
      <w:pPr>
        <w:pStyle w:val="Heading2"/>
      </w:pPr>
      <w:r>
        <w:t>Purpose</w:t>
      </w:r>
    </w:p>
    <w:p w:rsidR="00BC66DA" w:rsidP="00BC66DA" w:rsidRDefault="000C303D" w14:paraId="66CD372D" w14:textId="7EDC62DA">
      <w:pPr>
        <w:rPr>
          <w:rStyle w:val="normaltextrun"/>
          <w:rFonts w:asciiTheme="majorHAnsi" w:hAnsiTheme="majorHAnsi" w:cstheme="majorHAnsi"/>
          <w:color w:val="000000"/>
          <w:sz w:val="24"/>
          <w:szCs w:val="24"/>
          <w:shd w:val="clear" w:color="auto" w:fill="FFFFFF"/>
        </w:rPr>
      </w:pPr>
      <w:r>
        <w:rPr>
          <w:rFonts w:asciiTheme="majorHAnsi" w:hAnsiTheme="majorHAnsi" w:cstheme="majorHAnsi"/>
          <w:sz w:val="24"/>
          <w:szCs w:val="24"/>
        </w:rPr>
        <w:t xml:space="preserve">Michigan Department </w:t>
      </w:r>
      <w:r w:rsidR="00195E52">
        <w:rPr>
          <w:rFonts w:asciiTheme="majorHAnsi" w:hAnsiTheme="majorHAnsi" w:cstheme="majorHAnsi"/>
          <w:sz w:val="24"/>
          <w:szCs w:val="24"/>
        </w:rPr>
        <w:t xml:space="preserve">of Health and Human Services (MDHHS) Childhood Lead Poisoning Prevention Program (CLPPP) </w:t>
      </w:r>
      <w:r w:rsidR="00555B1E">
        <w:rPr>
          <w:rFonts w:asciiTheme="majorHAnsi" w:hAnsiTheme="majorHAnsi" w:cstheme="majorHAnsi"/>
          <w:sz w:val="24"/>
          <w:szCs w:val="24"/>
        </w:rPr>
        <w:t>procedure d</w:t>
      </w:r>
      <w:r w:rsidR="00BC66DA">
        <w:rPr>
          <w:rFonts w:asciiTheme="majorHAnsi" w:hAnsiTheme="majorHAnsi" w:cstheme="majorHAnsi"/>
          <w:sz w:val="24"/>
          <w:szCs w:val="24"/>
        </w:rPr>
        <w:t xml:space="preserve">efine </w:t>
      </w:r>
      <w:r w:rsidR="00364446">
        <w:rPr>
          <w:rFonts w:asciiTheme="majorHAnsi" w:hAnsiTheme="majorHAnsi" w:cstheme="majorHAnsi"/>
          <w:sz w:val="24"/>
          <w:szCs w:val="24"/>
        </w:rPr>
        <w:t xml:space="preserve">required </w:t>
      </w:r>
      <w:r w:rsidR="00BC66DA">
        <w:rPr>
          <w:rFonts w:asciiTheme="majorHAnsi" w:hAnsiTheme="majorHAnsi" w:cstheme="majorHAnsi"/>
          <w:sz w:val="24"/>
          <w:szCs w:val="24"/>
        </w:rPr>
        <w:t>actions to effectively manage and resolve venous blood lead tests that are greater than or equal to the blood lead</w:t>
      </w:r>
      <w:r w:rsidRPr="00BC66DA" w:rsidR="00BC66DA">
        <w:rPr>
          <w:rFonts w:asciiTheme="majorHAnsi" w:hAnsiTheme="majorHAnsi" w:cstheme="majorHAnsi"/>
          <w:sz w:val="24"/>
          <w:szCs w:val="24"/>
        </w:rPr>
        <w:t xml:space="preserve"> </w:t>
      </w:r>
      <w:r w:rsidRPr="00680B7C" w:rsidR="00BC66DA">
        <w:rPr>
          <w:rFonts w:asciiTheme="majorHAnsi" w:hAnsiTheme="majorHAnsi" w:cstheme="majorHAnsi"/>
          <w:sz w:val="24"/>
          <w:szCs w:val="24"/>
        </w:rPr>
        <w:t>reference value (</w:t>
      </w:r>
      <w:hyperlink w:tgtFrame="_blank" w:history="1" r:id="rId10">
        <w:r w:rsidRPr="00680B7C" w:rsidR="00BC66DA">
          <w:rPr>
            <w:rStyle w:val="normaltextrun"/>
            <w:rFonts w:asciiTheme="majorHAnsi" w:hAnsiTheme="majorHAnsi" w:cstheme="majorHAnsi"/>
            <w:color w:val="0000FF"/>
            <w:sz w:val="24"/>
            <w:szCs w:val="24"/>
            <w:u w:val="single"/>
            <w:shd w:val="clear" w:color="auto" w:fill="FFFFFF"/>
          </w:rPr>
          <w:t>DEFINITION OF ELEVATED BLOOD LEAD TEST RESULT (michigan.gov)</w:t>
        </w:r>
      </w:hyperlink>
      <w:r w:rsidRPr="00680B7C" w:rsidR="00BC66DA">
        <w:rPr>
          <w:rStyle w:val="normaltextrun"/>
          <w:rFonts w:asciiTheme="majorHAnsi" w:hAnsiTheme="majorHAnsi" w:cstheme="majorHAnsi"/>
          <w:color w:val="000000"/>
          <w:sz w:val="24"/>
          <w:szCs w:val="24"/>
          <w:shd w:val="clear" w:color="auto" w:fill="FFFFFF"/>
        </w:rPr>
        <w:t>).</w:t>
      </w:r>
    </w:p>
    <w:p w:rsidR="00BC66DA" w:rsidP="00BC66DA" w:rsidRDefault="00BC66DA" w14:paraId="7D2165C7" w14:textId="1A2ABF55">
      <w:pPr>
        <w:pStyle w:val="Heading2"/>
      </w:pPr>
      <w:r>
        <w:t>Background</w:t>
      </w:r>
    </w:p>
    <w:p w:rsidRPr="00BC66DA" w:rsidR="00BC66DA" w:rsidP="0C3A205C" w:rsidRDefault="00BC66DA" w14:paraId="038861B5" w14:textId="3406C588">
      <w:pPr>
        <w:rPr>
          <w:rFonts w:asciiTheme="majorHAnsi" w:hAnsiTheme="majorHAnsi" w:cstheme="majorBidi"/>
          <w:sz w:val="24"/>
          <w:szCs w:val="24"/>
        </w:rPr>
      </w:pPr>
      <w:r w:rsidRPr="0C3A205C">
        <w:rPr>
          <w:rFonts w:asciiTheme="majorHAnsi" w:hAnsiTheme="majorHAnsi" w:cstheme="majorBidi"/>
          <w:sz w:val="24"/>
          <w:szCs w:val="24"/>
        </w:rPr>
        <w:t>Children under the age of six years with a venous confirmed elevated blood lead level</w:t>
      </w:r>
      <w:r w:rsidRPr="0C3A205C" w:rsidR="00B53652">
        <w:rPr>
          <w:rFonts w:asciiTheme="majorHAnsi" w:hAnsiTheme="majorHAnsi" w:cstheme="majorBidi"/>
          <w:sz w:val="24"/>
          <w:szCs w:val="24"/>
        </w:rPr>
        <w:t xml:space="preserve"> (EBLL)</w:t>
      </w:r>
      <w:r w:rsidRPr="0C3A205C">
        <w:rPr>
          <w:rFonts w:asciiTheme="majorHAnsi" w:hAnsiTheme="majorHAnsi" w:cstheme="majorBidi"/>
          <w:sz w:val="24"/>
          <w:szCs w:val="24"/>
        </w:rPr>
        <w:t xml:space="preserve">, which is a </w:t>
      </w:r>
      <w:r w:rsidR="00610B51">
        <w:rPr>
          <w:rFonts w:asciiTheme="majorHAnsi" w:hAnsiTheme="majorHAnsi" w:cstheme="majorBidi"/>
          <w:sz w:val="24"/>
          <w:szCs w:val="24"/>
        </w:rPr>
        <w:t>BLL</w:t>
      </w:r>
      <w:r w:rsidR="00610B94">
        <w:rPr>
          <w:rFonts w:asciiTheme="majorHAnsi" w:hAnsiTheme="majorHAnsi" w:cstheme="majorBidi"/>
          <w:sz w:val="24"/>
          <w:szCs w:val="24"/>
        </w:rPr>
        <w:t xml:space="preserve"> equal to or greater than 3.5 </w:t>
      </w:r>
      <w:proofErr w:type="gramStart"/>
      <w:r w:rsidR="00610B94">
        <w:rPr>
          <w:rFonts w:asciiTheme="majorHAnsi" w:hAnsiTheme="majorHAnsi" w:cstheme="majorHAnsi"/>
          <w:sz w:val="24"/>
          <w:szCs w:val="24"/>
        </w:rPr>
        <w:t>µ</w:t>
      </w:r>
      <w:r w:rsidR="00610B94">
        <w:rPr>
          <w:rFonts w:asciiTheme="majorHAnsi" w:hAnsiTheme="majorHAnsi" w:cstheme="majorBidi"/>
          <w:sz w:val="24"/>
          <w:szCs w:val="24"/>
        </w:rPr>
        <w:t>g</w:t>
      </w:r>
      <w:proofErr w:type="gramEnd"/>
      <w:r w:rsidR="00610B94">
        <w:rPr>
          <w:rFonts w:asciiTheme="majorHAnsi" w:hAnsiTheme="majorHAnsi" w:cstheme="majorBidi"/>
          <w:sz w:val="24"/>
          <w:szCs w:val="24"/>
        </w:rPr>
        <w:t xml:space="preserve">/dL, are eligible for case management services.  Children </w:t>
      </w:r>
      <w:r w:rsidRPr="0C3A205C" w:rsidR="006C344A">
        <w:rPr>
          <w:rFonts w:asciiTheme="majorHAnsi" w:hAnsiTheme="majorHAnsi" w:cstheme="majorBidi"/>
          <w:sz w:val="24"/>
          <w:szCs w:val="24"/>
        </w:rPr>
        <w:t>between</w:t>
      </w:r>
      <w:r w:rsidRPr="0C3A205C">
        <w:rPr>
          <w:rFonts w:asciiTheme="majorHAnsi" w:hAnsiTheme="majorHAnsi" w:cstheme="majorBidi"/>
          <w:sz w:val="24"/>
          <w:szCs w:val="24"/>
        </w:rPr>
        <w:t xml:space="preserve"> six and </w:t>
      </w:r>
      <w:r w:rsidRPr="0C3A205C" w:rsidR="00A675CB">
        <w:rPr>
          <w:rFonts w:asciiTheme="majorHAnsi" w:hAnsiTheme="majorHAnsi" w:cstheme="majorBidi"/>
          <w:sz w:val="24"/>
          <w:szCs w:val="24"/>
        </w:rPr>
        <w:t>fifteen</w:t>
      </w:r>
      <w:r w:rsidRPr="0C3A205C">
        <w:rPr>
          <w:rFonts w:asciiTheme="majorHAnsi" w:hAnsiTheme="majorHAnsi" w:cstheme="majorBidi"/>
          <w:sz w:val="24"/>
          <w:szCs w:val="24"/>
        </w:rPr>
        <w:t xml:space="preserve"> years of age may be eligible for case management services </w:t>
      </w:r>
      <w:r w:rsidRPr="0C3A205C" w:rsidR="007760CA">
        <w:rPr>
          <w:rFonts w:asciiTheme="majorHAnsi" w:hAnsiTheme="majorHAnsi" w:cstheme="majorBidi"/>
          <w:sz w:val="24"/>
          <w:szCs w:val="24"/>
        </w:rPr>
        <w:t>upon notification</w:t>
      </w:r>
      <w:r w:rsidRPr="0C3A205C" w:rsidR="00244AA4">
        <w:rPr>
          <w:rFonts w:asciiTheme="majorHAnsi" w:hAnsiTheme="majorHAnsi" w:cstheme="majorBidi"/>
          <w:sz w:val="24"/>
          <w:szCs w:val="24"/>
        </w:rPr>
        <w:t xml:space="preserve"> to </w:t>
      </w:r>
      <w:r w:rsidRPr="0C3A205C">
        <w:rPr>
          <w:rFonts w:asciiTheme="majorHAnsi" w:hAnsiTheme="majorHAnsi" w:cstheme="majorBidi"/>
          <w:sz w:val="24"/>
          <w:szCs w:val="24"/>
        </w:rPr>
        <w:t xml:space="preserve">the MDHHS CLPPP </w:t>
      </w:r>
      <w:r w:rsidRPr="0C3A205C" w:rsidR="00620677">
        <w:rPr>
          <w:rFonts w:asciiTheme="majorHAnsi" w:hAnsiTheme="majorHAnsi" w:cstheme="majorBidi"/>
          <w:sz w:val="24"/>
          <w:szCs w:val="24"/>
        </w:rPr>
        <w:t>N</w:t>
      </w:r>
      <w:r w:rsidRPr="0C3A205C">
        <w:rPr>
          <w:rFonts w:asciiTheme="majorHAnsi" w:hAnsiTheme="majorHAnsi" w:cstheme="majorBidi"/>
          <w:sz w:val="24"/>
          <w:szCs w:val="24"/>
        </w:rPr>
        <w:t xml:space="preserve">urse </w:t>
      </w:r>
      <w:r w:rsidRPr="0C3A205C" w:rsidR="00620677">
        <w:rPr>
          <w:rFonts w:asciiTheme="majorHAnsi" w:hAnsiTheme="majorHAnsi" w:cstheme="majorBidi"/>
          <w:sz w:val="24"/>
          <w:szCs w:val="24"/>
        </w:rPr>
        <w:t>C</w:t>
      </w:r>
      <w:r w:rsidRPr="0C3A205C">
        <w:rPr>
          <w:rFonts w:asciiTheme="majorHAnsi" w:hAnsiTheme="majorHAnsi" w:cstheme="majorBidi"/>
          <w:sz w:val="24"/>
          <w:szCs w:val="24"/>
        </w:rPr>
        <w:t xml:space="preserve">onsultant. </w:t>
      </w:r>
    </w:p>
    <w:p w:rsidR="00BC66DA" w:rsidP="00BC66DA" w:rsidRDefault="00BC66DA" w14:paraId="56FDEB0C" w14:textId="374FF4C5">
      <w:pPr>
        <w:rPr>
          <w:rFonts w:asciiTheme="majorHAnsi" w:hAnsiTheme="majorHAnsi" w:cstheme="majorHAnsi"/>
          <w:sz w:val="24"/>
          <w:szCs w:val="24"/>
        </w:rPr>
      </w:pPr>
      <w:r w:rsidRPr="00BC66DA">
        <w:rPr>
          <w:rFonts w:asciiTheme="majorHAnsi" w:hAnsiTheme="majorHAnsi" w:cstheme="majorHAnsi"/>
          <w:sz w:val="24"/>
          <w:szCs w:val="24"/>
        </w:rPr>
        <w:t xml:space="preserve">The goal in contacting individuals with elevated venous </w:t>
      </w:r>
      <w:proofErr w:type="gramStart"/>
      <w:r w:rsidRPr="00BC66DA">
        <w:rPr>
          <w:rFonts w:asciiTheme="majorHAnsi" w:hAnsiTheme="majorHAnsi" w:cstheme="majorHAnsi"/>
          <w:sz w:val="24"/>
          <w:szCs w:val="24"/>
        </w:rPr>
        <w:t>blood lead</w:t>
      </w:r>
      <w:proofErr w:type="gramEnd"/>
      <w:r w:rsidRPr="00BC66DA">
        <w:rPr>
          <w:rFonts w:asciiTheme="majorHAnsi" w:hAnsiTheme="majorHAnsi" w:cstheme="majorHAnsi"/>
          <w:sz w:val="24"/>
          <w:szCs w:val="24"/>
        </w:rPr>
        <w:t xml:space="preserve"> levels is to provide education and </w:t>
      </w:r>
      <w:r w:rsidR="00150494">
        <w:rPr>
          <w:rFonts w:asciiTheme="majorHAnsi" w:hAnsiTheme="majorHAnsi" w:cstheme="majorHAnsi"/>
          <w:sz w:val="24"/>
          <w:szCs w:val="24"/>
        </w:rPr>
        <w:t>facilitate enrollment in case management services or continue services after follow-up venous tests.</w:t>
      </w:r>
    </w:p>
    <w:p w:rsidR="00BC66DA" w:rsidP="00BC66DA" w:rsidRDefault="00BC66DA" w14:paraId="1D808135" w14:textId="23AD2A40">
      <w:pPr>
        <w:pStyle w:val="Heading2"/>
      </w:pPr>
      <w:r>
        <w:t>Procedure</w:t>
      </w:r>
    </w:p>
    <w:p w:rsidR="007B4DC5" w:rsidP="00BC66DA" w:rsidRDefault="00BC66DA" w14:paraId="71586449" w14:textId="77777777">
      <w:pPr>
        <w:rPr>
          <w:rFonts w:asciiTheme="majorHAnsi" w:hAnsiTheme="majorHAnsi" w:cstheme="majorHAnsi"/>
          <w:sz w:val="24"/>
          <w:szCs w:val="24"/>
        </w:rPr>
      </w:pPr>
      <w:r w:rsidRPr="00BC66DA">
        <w:rPr>
          <w:rFonts w:asciiTheme="majorHAnsi" w:hAnsiTheme="majorHAnsi" w:cstheme="majorHAnsi"/>
          <w:b/>
          <w:bCs/>
          <w:sz w:val="24"/>
          <w:szCs w:val="24"/>
        </w:rPr>
        <w:t>Results Received Procedure:</w:t>
      </w:r>
      <w:r w:rsidRPr="00BC66DA">
        <w:rPr>
          <w:rFonts w:asciiTheme="majorHAnsi" w:hAnsiTheme="majorHAnsi" w:cstheme="majorHAnsi"/>
          <w:sz w:val="24"/>
          <w:szCs w:val="24"/>
        </w:rPr>
        <w:t xml:space="preserve"> </w:t>
      </w:r>
    </w:p>
    <w:p w:rsidR="00094CD0" w:rsidP="007B4DC5" w:rsidRDefault="00BC66DA" w14:paraId="7E01B2BF" w14:textId="77777777">
      <w:pPr>
        <w:pStyle w:val="ListParagraph"/>
        <w:numPr>
          <w:ilvl w:val="0"/>
          <w:numId w:val="3"/>
        </w:numPr>
        <w:rPr>
          <w:rFonts w:asciiTheme="majorHAnsi" w:hAnsiTheme="majorHAnsi" w:cstheme="majorHAnsi"/>
          <w:sz w:val="24"/>
          <w:szCs w:val="24"/>
        </w:rPr>
      </w:pPr>
      <w:r w:rsidRPr="007B4DC5">
        <w:rPr>
          <w:rFonts w:asciiTheme="majorHAnsi" w:hAnsiTheme="majorHAnsi" w:cstheme="majorHAnsi"/>
          <w:sz w:val="24"/>
          <w:szCs w:val="24"/>
        </w:rPr>
        <w:t>Download blood lead level report via DCH-File Transfer on a weekly basis</w:t>
      </w:r>
      <w:r w:rsidR="00094CD0">
        <w:rPr>
          <w:rFonts w:asciiTheme="majorHAnsi" w:hAnsiTheme="majorHAnsi" w:cstheme="majorHAnsi"/>
          <w:sz w:val="24"/>
          <w:szCs w:val="24"/>
        </w:rPr>
        <w:t>.</w:t>
      </w:r>
    </w:p>
    <w:p w:rsidR="00736ACC" w:rsidP="007B4DC5" w:rsidRDefault="00094CD0" w14:paraId="489426D3" w14:textId="77777777">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Download blood lead level </w:t>
      </w:r>
      <w:r w:rsidR="00736ACC">
        <w:rPr>
          <w:rFonts w:asciiTheme="majorHAnsi" w:hAnsiTheme="majorHAnsi" w:cstheme="majorHAnsi"/>
          <w:sz w:val="24"/>
          <w:szCs w:val="24"/>
        </w:rPr>
        <w:t xml:space="preserve">report </w:t>
      </w:r>
      <w:r w:rsidRPr="007B4DC5" w:rsidR="00BC66DA">
        <w:rPr>
          <w:rFonts w:asciiTheme="majorHAnsi" w:hAnsiTheme="majorHAnsi" w:cstheme="majorHAnsi"/>
          <w:sz w:val="24"/>
          <w:szCs w:val="24"/>
        </w:rPr>
        <w:t xml:space="preserve">by close of same business day when notified by MI-CLPPP staff of a daily EBLL ≥20 </w:t>
      </w:r>
      <w:proofErr w:type="gramStart"/>
      <w:r w:rsidRPr="007B4DC5" w:rsidR="00BC66DA">
        <w:rPr>
          <w:rFonts w:asciiTheme="majorHAnsi" w:hAnsiTheme="majorHAnsi" w:cstheme="majorHAnsi"/>
          <w:sz w:val="24"/>
          <w:szCs w:val="24"/>
        </w:rPr>
        <w:t>µg</w:t>
      </w:r>
      <w:proofErr w:type="gramEnd"/>
      <w:r w:rsidRPr="007B4DC5" w:rsidR="00BC66DA">
        <w:rPr>
          <w:rFonts w:asciiTheme="majorHAnsi" w:hAnsiTheme="majorHAnsi" w:cstheme="majorHAnsi"/>
          <w:sz w:val="24"/>
          <w:szCs w:val="24"/>
        </w:rPr>
        <w:t>/dL.</w:t>
      </w:r>
    </w:p>
    <w:p w:rsidR="006A215F" w:rsidP="007B4DC5" w:rsidRDefault="00BC66DA" w14:paraId="4B0A4D5F" w14:textId="77777777">
      <w:pPr>
        <w:pStyle w:val="ListParagraph"/>
        <w:numPr>
          <w:ilvl w:val="0"/>
          <w:numId w:val="3"/>
        </w:numPr>
        <w:rPr>
          <w:rFonts w:asciiTheme="majorHAnsi" w:hAnsiTheme="majorHAnsi" w:cstheme="majorHAnsi"/>
          <w:sz w:val="24"/>
          <w:szCs w:val="24"/>
        </w:rPr>
      </w:pPr>
      <w:r w:rsidRPr="007B4DC5">
        <w:rPr>
          <w:rFonts w:asciiTheme="majorHAnsi" w:hAnsiTheme="majorHAnsi" w:cstheme="majorHAnsi"/>
          <w:sz w:val="24"/>
          <w:szCs w:val="24"/>
        </w:rPr>
        <w:t xml:space="preserve">Look child up in case management database system to determine if this is a new or open case. If this is an open case, review blood lead level history and previous case management activities. </w:t>
      </w:r>
    </w:p>
    <w:p w:rsidRPr="007B4DC5" w:rsidR="00BC66DA" w:rsidP="007B4DC5" w:rsidRDefault="00BC66DA" w14:paraId="77A4F21B" w14:textId="7CFE5D6C">
      <w:pPr>
        <w:pStyle w:val="ListParagraph"/>
        <w:numPr>
          <w:ilvl w:val="0"/>
          <w:numId w:val="3"/>
        </w:numPr>
        <w:rPr>
          <w:rFonts w:asciiTheme="majorHAnsi" w:hAnsiTheme="majorHAnsi" w:cstheme="majorHAnsi"/>
          <w:sz w:val="24"/>
          <w:szCs w:val="24"/>
        </w:rPr>
      </w:pPr>
      <w:r w:rsidRPr="007B4DC5">
        <w:rPr>
          <w:rFonts w:asciiTheme="majorHAnsi" w:hAnsiTheme="majorHAnsi" w:cstheme="majorHAnsi"/>
          <w:sz w:val="24"/>
          <w:szCs w:val="24"/>
        </w:rPr>
        <w:t>Re</w:t>
      </w:r>
      <w:r w:rsidR="0070374A">
        <w:rPr>
          <w:rFonts w:asciiTheme="majorHAnsi" w:hAnsiTheme="majorHAnsi" w:cstheme="majorHAnsi"/>
          <w:sz w:val="24"/>
          <w:szCs w:val="24"/>
        </w:rPr>
        <w:t>ports of a child with a venous BLL</w:t>
      </w:r>
      <w:r w:rsidRPr="007B4DC5">
        <w:rPr>
          <w:rFonts w:asciiTheme="majorHAnsi" w:hAnsiTheme="majorHAnsi" w:cstheme="majorHAnsi"/>
          <w:sz w:val="24"/>
          <w:szCs w:val="24"/>
        </w:rPr>
        <w:t xml:space="preserve"> of ≥4</w:t>
      </w:r>
      <w:r w:rsidRPr="007B4DC5" w:rsidR="0052622F">
        <w:rPr>
          <w:rFonts w:asciiTheme="majorHAnsi" w:hAnsiTheme="majorHAnsi" w:cstheme="majorHAnsi"/>
          <w:sz w:val="24"/>
          <w:szCs w:val="24"/>
        </w:rPr>
        <w:t>5</w:t>
      </w:r>
      <w:r w:rsidRPr="007B4DC5">
        <w:rPr>
          <w:rFonts w:asciiTheme="majorHAnsi" w:hAnsiTheme="majorHAnsi" w:cstheme="majorHAnsi"/>
          <w:sz w:val="24"/>
          <w:szCs w:val="24"/>
        </w:rPr>
        <w:t xml:space="preserve"> </w:t>
      </w:r>
      <w:proofErr w:type="gramStart"/>
      <w:r w:rsidRPr="007B4DC5">
        <w:rPr>
          <w:rFonts w:asciiTheme="majorHAnsi" w:hAnsiTheme="majorHAnsi" w:cstheme="majorHAnsi"/>
          <w:sz w:val="24"/>
          <w:szCs w:val="24"/>
        </w:rPr>
        <w:t>µ</w:t>
      </w:r>
      <w:r w:rsidRPr="007B4DC5" w:rsidR="0052622F">
        <w:rPr>
          <w:rFonts w:asciiTheme="majorHAnsi" w:hAnsiTheme="majorHAnsi" w:cstheme="majorHAnsi"/>
          <w:sz w:val="24"/>
          <w:szCs w:val="24"/>
        </w:rPr>
        <w:t>g</w:t>
      </w:r>
      <w:proofErr w:type="gramEnd"/>
      <w:r w:rsidRPr="007B4DC5">
        <w:rPr>
          <w:rFonts w:asciiTheme="majorHAnsi" w:hAnsiTheme="majorHAnsi" w:cstheme="majorHAnsi"/>
          <w:sz w:val="24"/>
          <w:szCs w:val="24"/>
        </w:rPr>
        <w:t xml:space="preserve">/dL that are reported directly to the local health department or received through DCH-File Transfer require immediate consultation with the nurse consultant for assistance and coordination of emergency housing and medical treatment. </w:t>
      </w:r>
    </w:p>
    <w:p w:rsidRPr="00BC66DA" w:rsidR="00BC66DA" w:rsidP="00BC66DA" w:rsidRDefault="00BC66DA" w14:paraId="0DE8F424" w14:textId="6E175C05">
      <w:pPr>
        <w:rPr>
          <w:rFonts w:asciiTheme="majorHAnsi" w:hAnsiTheme="majorHAnsi" w:cstheme="majorHAnsi"/>
          <w:sz w:val="24"/>
          <w:szCs w:val="24"/>
        </w:rPr>
      </w:pPr>
      <w:r w:rsidRPr="00BC66DA">
        <w:rPr>
          <w:rFonts w:asciiTheme="majorHAnsi" w:hAnsiTheme="majorHAnsi" w:cstheme="majorHAnsi"/>
          <w:b/>
          <w:bCs/>
          <w:sz w:val="24"/>
          <w:szCs w:val="24"/>
        </w:rPr>
        <w:t xml:space="preserve">Contact Procedure: </w:t>
      </w:r>
      <w:r w:rsidR="00133189">
        <w:rPr>
          <w:rFonts w:asciiTheme="majorHAnsi" w:hAnsiTheme="majorHAnsi" w:cstheme="majorHAnsi"/>
          <w:sz w:val="24"/>
          <w:szCs w:val="24"/>
        </w:rPr>
        <w:t xml:space="preserve">Initial contact, as defined for the purpose of this procedure, is a documented interaction between Michigan local public health and the parent or guardian of the EBLL child where health education is provided to the parent or guardian with the public health intent to engage them in case management for their child. </w:t>
      </w:r>
      <w:proofErr w:type="gramStart"/>
      <w:r w:rsidRPr="00BC66DA" w:rsidR="000F1DC7">
        <w:rPr>
          <w:rFonts w:asciiTheme="majorHAnsi" w:hAnsiTheme="majorHAnsi" w:cstheme="majorHAnsi"/>
          <w:sz w:val="24"/>
          <w:szCs w:val="24"/>
        </w:rPr>
        <w:t>Parent</w:t>
      </w:r>
      <w:proofErr w:type="gramEnd"/>
      <w:r w:rsidRPr="00BC66DA" w:rsidR="000F1DC7">
        <w:rPr>
          <w:rFonts w:asciiTheme="majorHAnsi" w:hAnsiTheme="majorHAnsi" w:cstheme="majorHAnsi"/>
          <w:sz w:val="24"/>
          <w:szCs w:val="24"/>
        </w:rPr>
        <w:t xml:space="preserve"> or </w:t>
      </w:r>
      <w:proofErr w:type="gramStart"/>
      <w:r w:rsidRPr="00BC66DA" w:rsidR="000F1DC7">
        <w:rPr>
          <w:rFonts w:asciiTheme="majorHAnsi" w:hAnsiTheme="majorHAnsi" w:cstheme="majorHAnsi"/>
          <w:sz w:val="24"/>
          <w:szCs w:val="24"/>
        </w:rPr>
        <w:t>guardian</w:t>
      </w:r>
      <w:proofErr w:type="gramEnd"/>
      <w:r w:rsidRPr="00BC66DA" w:rsidR="000F1DC7">
        <w:rPr>
          <w:rFonts w:asciiTheme="majorHAnsi" w:hAnsiTheme="majorHAnsi" w:cstheme="majorHAnsi"/>
          <w:sz w:val="24"/>
          <w:szCs w:val="24"/>
        </w:rPr>
        <w:t xml:space="preserve"> may be contacted by</w:t>
      </w:r>
      <w:r w:rsidR="004505B8">
        <w:rPr>
          <w:rFonts w:asciiTheme="majorHAnsi" w:hAnsiTheme="majorHAnsi" w:cstheme="majorHAnsi"/>
          <w:sz w:val="24"/>
          <w:szCs w:val="24"/>
        </w:rPr>
        <w:t xml:space="preserve"> any role deemed appropriate by local health policy and scope of practice</w:t>
      </w:r>
      <w:r w:rsidRPr="00BC66DA" w:rsidR="000F1DC7">
        <w:rPr>
          <w:rFonts w:asciiTheme="majorHAnsi" w:hAnsiTheme="majorHAnsi" w:cstheme="majorHAnsi"/>
          <w:sz w:val="24"/>
          <w:szCs w:val="24"/>
        </w:rPr>
        <w:t xml:space="preserve">. </w:t>
      </w:r>
      <w:r w:rsidR="000F1DC7">
        <w:rPr>
          <w:rFonts w:asciiTheme="majorHAnsi" w:hAnsiTheme="majorHAnsi" w:cstheme="majorHAnsi"/>
          <w:sz w:val="24"/>
          <w:szCs w:val="24"/>
        </w:rPr>
        <w:t>The intent of the i</w:t>
      </w:r>
      <w:r w:rsidRPr="00BC66DA">
        <w:rPr>
          <w:rFonts w:asciiTheme="majorHAnsi" w:hAnsiTheme="majorHAnsi" w:cstheme="majorHAnsi"/>
          <w:sz w:val="24"/>
          <w:szCs w:val="24"/>
        </w:rPr>
        <w:t xml:space="preserve">nitial contact </w:t>
      </w:r>
      <w:r w:rsidR="000F1DC7">
        <w:rPr>
          <w:rFonts w:asciiTheme="majorHAnsi" w:hAnsiTheme="majorHAnsi" w:cstheme="majorHAnsi"/>
          <w:sz w:val="24"/>
          <w:szCs w:val="24"/>
        </w:rPr>
        <w:t>is</w:t>
      </w:r>
      <w:r w:rsidRPr="00BC66DA">
        <w:rPr>
          <w:rFonts w:asciiTheme="majorHAnsi" w:hAnsiTheme="majorHAnsi" w:cstheme="majorHAnsi"/>
          <w:sz w:val="24"/>
          <w:szCs w:val="24"/>
        </w:rPr>
        <w:t xml:space="preserve"> to provide education regarding potential sources of lead hazards, availability of environmental investigation, and daily lead safe practices; and to facilitate</w:t>
      </w:r>
      <w:r w:rsidR="007B4894">
        <w:rPr>
          <w:rFonts w:asciiTheme="majorHAnsi" w:hAnsiTheme="majorHAnsi" w:cstheme="majorHAnsi"/>
          <w:sz w:val="24"/>
          <w:szCs w:val="24"/>
        </w:rPr>
        <w:t xml:space="preserve"> scheduling</w:t>
      </w:r>
      <w:r w:rsidR="006D338B">
        <w:rPr>
          <w:rFonts w:asciiTheme="majorHAnsi" w:hAnsiTheme="majorHAnsi" w:cstheme="majorHAnsi"/>
          <w:sz w:val="24"/>
          <w:szCs w:val="24"/>
        </w:rPr>
        <w:t xml:space="preserve"> a</w:t>
      </w:r>
      <w:r w:rsidR="00960659">
        <w:rPr>
          <w:rFonts w:asciiTheme="majorHAnsi" w:hAnsiTheme="majorHAnsi" w:cstheme="majorHAnsi"/>
          <w:sz w:val="24"/>
          <w:szCs w:val="24"/>
        </w:rPr>
        <w:t xml:space="preserve"> home visit </w:t>
      </w:r>
      <w:r w:rsidR="000E3F26">
        <w:rPr>
          <w:rFonts w:asciiTheme="majorHAnsi" w:hAnsiTheme="majorHAnsi" w:cstheme="majorHAnsi"/>
          <w:sz w:val="24"/>
          <w:szCs w:val="24"/>
        </w:rPr>
        <w:t>to</w:t>
      </w:r>
      <w:r w:rsidR="007B4894">
        <w:rPr>
          <w:rFonts w:asciiTheme="majorHAnsi" w:hAnsiTheme="majorHAnsi" w:cstheme="majorHAnsi"/>
          <w:sz w:val="24"/>
          <w:szCs w:val="24"/>
        </w:rPr>
        <w:t xml:space="preserve"> further</w:t>
      </w:r>
      <w:r w:rsidR="00CE2B47">
        <w:rPr>
          <w:rFonts w:asciiTheme="majorHAnsi" w:hAnsiTheme="majorHAnsi" w:cstheme="majorHAnsi"/>
          <w:sz w:val="24"/>
          <w:szCs w:val="24"/>
        </w:rPr>
        <w:t xml:space="preserve"> assess</w:t>
      </w:r>
      <w:r w:rsidR="008F3199">
        <w:rPr>
          <w:rFonts w:asciiTheme="majorHAnsi" w:hAnsiTheme="majorHAnsi" w:cstheme="majorHAnsi"/>
          <w:sz w:val="24"/>
          <w:szCs w:val="24"/>
        </w:rPr>
        <w:t xml:space="preserve"> social determinants of health needs</w:t>
      </w:r>
      <w:r w:rsidR="00AE3C07">
        <w:rPr>
          <w:rFonts w:asciiTheme="majorHAnsi" w:hAnsiTheme="majorHAnsi" w:cstheme="majorHAnsi"/>
          <w:sz w:val="24"/>
          <w:szCs w:val="24"/>
        </w:rPr>
        <w:t xml:space="preserve"> or continue case management services</w:t>
      </w:r>
      <w:r w:rsidR="008F3199">
        <w:rPr>
          <w:rFonts w:asciiTheme="majorHAnsi" w:hAnsiTheme="majorHAnsi" w:cstheme="majorHAnsi"/>
          <w:sz w:val="24"/>
          <w:szCs w:val="24"/>
        </w:rPr>
        <w:t>.</w:t>
      </w:r>
      <w:r w:rsidRPr="00BC66DA">
        <w:rPr>
          <w:rFonts w:asciiTheme="majorHAnsi" w:hAnsiTheme="majorHAnsi" w:cstheme="majorHAnsi"/>
          <w:sz w:val="24"/>
          <w:szCs w:val="24"/>
        </w:rPr>
        <w:t xml:space="preserve"> Contact </w:t>
      </w:r>
      <w:proofErr w:type="gramStart"/>
      <w:r w:rsidRPr="00BC66DA">
        <w:rPr>
          <w:rFonts w:asciiTheme="majorHAnsi" w:hAnsiTheme="majorHAnsi" w:cstheme="majorHAnsi"/>
          <w:sz w:val="24"/>
          <w:szCs w:val="24"/>
        </w:rPr>
        <w:t>method</w:t>
      </w:r>
      <w:proofErr w:type="gramEnd"/>
      <w:r w:rsidRPr="00BC66DA">
        <w:rPr>
          <w:rFonts w:asciiTheme="majorHAnsi" w:hAnsiTheme="majorHAnsi" w:cstheme="majorHAnsi"/>
          <w:sz w:val="24"/>
          <w:szCs w:val="24"/>
        </w:rPr>
        <w:t xml:space="preserve"> should be selected based on severity of blood lead level and the </w:t>
      </w:r>
      <w:r w:rsidRPr="00BC66DA">
        <w:rPr>
          <w:rFonts w:asciiTheme="majorHAnsi" w:hAnsiTheme="majorHAnsi" w:cstheme="majorHAnsi"/>
          <w:sz w:val="24"/>
          <w:szCs w:val="24"/>
        </w:rPr>
        <w:lastRenderedPageBreak/>
        <w:t xml:space="preserve">timeframe below; </w:t>
      </w:r>
      <w:r w:rsidR="008B23DC">
        <w:rPr>
          <w:rFonts w:asciiTheme="majorHAnsi" w:hAnsiTheme="majorHAnsi" w:cstheme="majorHAnsi"/>
          <w:sz w:val="24"/>
          <w:szCs w:val="24"/>
        </w:rPr>
        <w:t>parent</w:t>
      </w:r>
      <w:r w:rsidR="00E16579">
        <w:rPr>
          <w:rFonts w:asciiTheme="majorHAnsi" w:hAnsiTheme="majorHAnsi" w:cstheme="majorHAnsi"/>
          <w:sz w:val="24"/>
          <w:szCs w:val="24"/>
        </w:rPr>
        <w:t xml:space="preserve">s/guardians of children with </w:t>
      </w:r>
      <w:r w:rsidRPr="00BC66DA">
        <w:rPr>
          <w:rFonts w:asciiTheme="majorHAnsi" w:hAnsiTheme="majorHAnsi" w:cstheme="majorHAnsi"/>
          <w:sz w:val="24"/>
          <w:szCs w:val="24"/>
        </w:rPr>
        <w:t xml:space="preserve">levels ≥10 </w:t>
      </w:r>
      <w:proofErr w:type="gramStart"/>
      <w:r w:rsidRPr="00BC66DA">
        <w:rPr>
          <w:rFonts w:asciiTheme="majorHAnsi" w:hAnsiTheme="majorHAnsi" w:cstheme="majorHAnsi"/>
          <w:sz w:val="24"/>
          <w:szCs w:val="24"/>
        </w:rPr>
        <w:t>µ</w:t>
      </w:r>
      <w:r w:rsidR="00F512C6">
        <w:rPr>
          <w:rFonts w:asciiTheme="majorHAnsi" w:hAnsiTheme="majorHAnsi" w:cstheme="majorHAnsi"/>
          <w:sz w:val="24"/>
          <w:szCs w:val="24"/>
        </w:rPr>
        <w:t>g</w:t>
      </w:r>
      <w:proofErr w:type="gramEnd"/>
      <w:r w:rsidRPr="00BC66DA">
        <w:rPr>
          <w:rFonts w:asciiTheme="majorHAnsi" w:hAnsiTheme="majorHAnsi" w:cstheme="majorHAnsi"/>
          <w:sz w:val="24"/>
          <w:szCs w:val="24"/>
        </w:rPr>
        <w:t xml:space="preserve">/dL must be contacted by </w:t>
      </w:r>
      <w:proofErr w:type="gramStart"/>
      <w:r w:rsidRPr="00BC66DA">
        <w:rPr>
          <w:rFonts w:asciiTheme="majorHAnsi" w:hAnsiTheme="majorHAnsi" w:cstheme="majorHAnsi"/>
          <w:sz w:val="24"/>
          <w:szCs w:val="24"/>
        </w:rPr>
        <w:t>phone</w:t>
      </w:r>
      <w:proofErr w:type="gramEnd"/>
      <w:r w:rsidRPr="00BC66DA">
        <w:rPr>
          <w:rFonts w:asciiTheme="majorHAnsi" w:hAnsiTheme="majorHAnsi" w:cstheme="majorHAnsi"/>
          <w:sz w:val="24"/>
          <w:szCs w:val="24"/>
        </w:rPr>
        <w:t xml:space="preserve"> first. Subsequent EBLL results will be followed up on using the same timeframe.</w:t>
      </w:r>
      <w:r w:rsidR="00AE3C07">
        <w:rPr>
          <w:rFonts w:asciiTheme="majorHAnsi" w:hAnsiTheme="majorHAnsi" w:cstheme="majorHAnsi"/>
          <w:sz w:val="24"/>
          <w:szCs w:val="24"/>
        </w:rPr>
        <w:t xml:space="preserve">  Cases should also be assigned </w:t>
      </w:r>
      <w:r w:rsidR="0041355A">
        <w:rPr>
          <w:rFonts w:asciiTheme="majorHAnsi" w:hAnsiTheme="majorHAnsi" w:cstheme="majorHAnsi"/>
          <w:sz w:val="24"/>
          <w:szCs w:val="24"/>
        </w:rPr>
        <w:t xml:space="preserve">to community health workers by a public health nurse. </w:t>
      </w:r>
    </w:p>
    <w:tbl>
      <w:tblPr>
        <w:tblStyle w:val="TableGrid"/>
        <w:tblW w:w="9360" w:type="dxa"/>
        <w:tblLayout w:type="fixed"/>
        <w:tblLook w:val="04A0" w:firstRow="1" w:lastRow="0" w:firstColumn="1" w:lastColumn="0" w:noHBand="0" w:noVBand="1"/>
      </w:tblPr>
      <w:tblGrid>
        <w:gridCol w:w="3330"/>
        <w:gridCol w:w="6030"/>
      </w:tblGrid>
      <w:tr w:rsidRPr="00BC66DA" w:rsidR="00BC66DA" w:rsidTr="00B8078B" w14:paraId="7148DABB" w14:textId="77777777">
        <w:tc>
          <w:tcPr>
            <w:tcW w:w="33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3BB461A4" w14:textId="77777777">
            <w:pPr>
              <w:rPr>
                <w:rFonts w:asciiTheme="majorHAnsi" w:hAnsiTheme="majorHAnsi" w:cstheme="majorHAnsi"/>
                <w:sz w:val="24"/>
                <w:szCs w:val="24"/>
              </w:rPr>
            </w:pPr>
            <w:r w:rsidRPr="00BC66DA">
              <w:rPr>
                <w:rFonts w:eastAsia="Calibri" w:asciiTheme="majorHAnsi" w:hAnsiTheme="majorHAnsi" w:cstheme="majorHAnsi"/>
                <w:b/>
                <w:bCs/>
                <w:sz w:val="24"/>
                <w:szCs w:val="24"/>
              </w:rPr>
              <w:t xml:space="preserve">Blood </w:t>
            </w:r>
            <w:proofErr w:type="gramStart"/>
            <w:r w:rsidRPr="00BC66DA">
              <w:rPr>
                <w:rFonts w:eastAsia="Calibri" w:asciiTheme="majorHAnsi" w:hAnsiTheme="majorHAnsi" w:cstheme="majorHAnsi"/>
                <w:b/>
                <w:bCs/>
                <w:sz w:val="24"/>
                <w:szCs w:val="24"/>
              </w:rPr>
              <w:t>lead</w:t>
            </w:r>
            <w:proofErr w:type="gramEnd"/>
            <w:r w:rsidRPr="00BC66DA">
              <w:rPr>
                <w:rFonts w:eastAsia="Calibri" w:asciiTheme="majorHAnsi" w:hAnsiTheme="majorHAnsi" w:cstheme="majorHAnsi"/>
                <w:b/>
                <w:bCs/>
                <w:sz w:val="24"/>
                <w:szCs w:val="24"/>
              </w:rPr>
              <w:t xml:space="preserve"> level</w:t>
            </w:r>
          </w:p>
        </w:tc>
        <w:tc>
          <w:tcPr>
            <w:tcW w:w="60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1212AB78" w14:textId="77777777">
            <w:pPr>
              <w:rPr>
                <w:rFonts w:asciiTheme="majorHAnsi" w:hAnsiTheme="majorHAnsi" w:cstheme="majorHAnsi"/>
                <w:sz w:val="24"/>
                <w:szCs w:val="24"/>
              </w:rPr>
            </w:pPr>
            <w:r w:rsidRPr="00BC66DA">
              <w:rPr>
                <w:rFonts w:eastAsia="Calibri" w:asciiTheme="majorHAnsi" w:hAnsiTheme="majorHAnsi" w:cstheme="majorHAnsi"/>
                <w:b/>
                <w:bCs/>
                <w:sz w:val="24"/>
                <w:szCs w:val="24"/>
              </w:rPr>
              <w:t>Time frame for initial contact</w:t>
            </w:r>
          </w:p>
        </w:tc>
      </w:tr>
      <w:tr w:rsidRPr="00BC66DA" w:rsidR="00BC66DA" w:rsidTr="00B8078B" w14:paraId="4BD12417" w14:textId="77777777">
        <w:tc>
          <w:tcPr>
            <w:tcW w:w="33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12FC245C" w14:textId="77777777">
            <w:pPr>
              <w:rPr>
                <w:rFonts w:asciiTheme="majorHAnsi" w:hAnsiTheme="majorHAnsi" w:cstheme="majorHAnsi"/>
                <w:sz w:val="24"/>
                <w:szCs w:val="24"/>
              </w:rPr>
            </w:pPr>
            <w:r w:rsidRPr="00BC66DA">
              <w:rPr>
                <w:rFonts w:eastAsia="Calibri" w:asciiTheme="majorHAnsi" w:hAnsiTheme="majorHAnsi" w:cstheme="majorHAnsi"/>
                <w:sz w:val="24"/>
                <w:szCs w:val="24"/>
              </w:rPr>
              <w:t xml:space="preserve">3.5-9.9 </w:t>
            </w:r>
            <w:proofErr w:type="gramStart"/>
            <w:r w:rsidRPr="00BC66DA">
              <w:rPr>
                <w:rFonts w:eastAsia="Calibri" w:asciiTheme="majorHAnsi" w:hAnsiTheme="majorHAnsi" w:cstheme="majorHAnsi"/>
                <w:sz w:val="24"/>
                <w:szCs w:val="24"/>
              </w:rPr>
              <w:t>µg</w:t>
            </w:r>
            <w:proofErr w:type="gramEnd"/>
            <w:r w:rsidRPr="00BC66DA">
              <w:rPr>
                <w:rFonts w:eastAsia="Calibri" w:asciiTheme="majorHAnsi" w:hAnsiTheme="majorHAnsi" w:cstheme="majorHAnsi"/>
                <w:sz w:val="24"/>
                <w:szCs w:val="24"/>
              </w:rPr>
              <w:t>/dL</w:t>
            </w:r>
          </w:p>
        </w:tc>
        <w:tc>
          <w:tcPr>
            <w:tcW w:w="60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6E0B8A9A" w14:textId="77777777">
            <w:pPr>
              <w:rPr>
                <w:rFonts w:asciiTheme="majorHAnsi" w:hAnsiTheme="majorHAnsi" w:cstheme="majorHAnsi"/>
                <w:sz w:val="24"/>
                <w:szCs w:val="24"/>
              </w:rPr>
            </w:pPr>
            <w:r w:rsidRPr="00BC66DA">
              <w:rPr>
                <w:rFonts w:eastAsia="Calibri" w:asciiTheme="majorHAnsi" w:hAnsiTheme="majorHAnsi" w:cstheme="majorHAnsi"/>
                <w:sz w:val="24"/>
                <w:szCs w:val="24"/>
              </w:rPr>
              <w:t>Within 2 weeks of referral</w:t>
            </w:r>
          </w:p>
        </w:tc>
      </w:tr>
      <w:tr w:rsidRPr="00BC66DA" w:rsidR="00BC66DA" w:rsidTr="00B8078B" w14:paraId="6E984D41" w14:textId="77777777">
        <w:tc>
          <w:tcPr>
            <w:tcW w:w="33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316260CC" w14:textId="77777777">
            <w:pPr>
              <w:rPr>
                <w:rFonts w:asciiTheme="majorHAnsi" w:hAnsiTheme="majorHAnsi" w:cstheme="majorHAnsi"/>
                <w:sz w:val="24"/>
                <w:szCs w:val="24"/>
              </w:rPr>
            </w:pPr>
            <w:r w:rsidRPr="00BC66DA">
              <w:rPr>
                <w:rFonts w:eastAsia="Calibri" w:asciiTheme="majorHAnsi" w:hAnsiTheme="majorHAnsi" w:cstheme="majorHAnsi"/>
                <w:sz w:val="24"/>
                <w:szCs w:val="24"/>
              </w:rPr>
              <w:t xml:space="preserve">10-19.9 </w:t>
            </w:r>
            <w:proofErr w:type="gramStart"/>
            <w:r w:rsidRPr="00BC66DA">
              <w:rPr>
                <w:rFonts w:eastAsia="Calibri" w:asciiTheme="majorHAnsi" w:hAnsiTheme="majorHAnsi" w:cstheme="majorHAnsi"/>
                <w:sz w:val="24"/>
                <w:szCs w:val="24"/>
              </w:rPr>
              <w:t>µg</w:t>
            </w:r>
            <w:proofErr w:type="gramEnd"/>
            <w:r w:rsidRPr="00BC66DA">
              <w:rPr>
                <w:rFonts w:eastAsia="Calibri" w:asciiTheme="majorHAnsi" w:hAnsiTheme="majorHAnsi" w:cstheme="majorHAnsi"/>
                <w:sz w:val="24"/>
                <w:szCs w:val="24"/>
              </w:rPr>
              <w:t>/dL</w:t>
            </w:r>
          </w:p>
        </w:tc>
        <w:tc>
          <w:tcPr>
            <w:tcW w:w="60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26282ECE" w14:textId="77777777">
            <w:pPr>
              <w:rPr>
                <w:rFonts w:asciiTheme="majorHAnsi" w:hAnsiTheme="majorHAnsi" w:cstheme="majorHAnsi"/>
                <w:sz w:val="24"/>
                <w:szCs w:val="24"/>
              </w:rPr>
            </w:pPr>
            <w:r w:rsidRPr="00BC66DA">
              <w:rPr>
                <w:rFonts w:eastAsia="Calibri" w:asciiTheme="majorHAnsi" w:hAnsiTheme="majorHAnsi" w:cstheme="majorHAnsi"/>
                <w:sz w:val="24"/>
                <w:szCs w:val="24"/>
              </w:rPr>
              <w:t>Within 1 week of referral, initial contact must be by phone</w:t>
            </w:r>
          </w:p>
        </w:tc>
      </w:tr>
      <w:tr w:rsidRPr="00BC66DA" w:rsidR="00BC66DA" w:rsidTr="00B8078B" w14:paraId="2B41D28C" w14:textId="77777777">
        <w:tc>
          <w:tcPr>
            <w:tcW w:w="33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63D8AE32" w14:textId="77777777">
            <w:pPr>
              <w:rPr>
                <w:rFonts w:asciiTheme="majorHAnsi" w:hAnsiTheme="majorHAnsi" w:cstheme="majorHAnsi"/>
                <w:sz w:val="24"/>
                <w:szCs w:val="24"/>
              </w:rPr>
            </w:pPr>
            <w:r w:rsidRPr="00BC66DA">
              <w:rPr>
                <w:rFonts w:eastAsia="Calibri" w:asciiTheme="majorHAnsi" w:hAnsiTheme="majorHAnsi" w:cstheme="majorHAnsi"/>
                <w:sz w:val="24"/>
                <w:szCs w:val="24"/>
              </w:rPr>
              <w:t xml:space="preserve">20-44.9 </w:t>
            </w:r>
            <w:proofErr w:type="gramStart"/>
            <w:r w:rsidRPr="00BC66DA">
              <w:rPr>
                <w:rFonts w:eastAsia="Calibri" w:asciiTheme="majorHAnsi" w:hAnsiTheme="majorHAnsi" w:cstheme="majorHAnsi"/>
                <w:sz w:val="24"/>
                <w:szCs w:val="24"/>
              </w:rPr>
              <w:t>µg</w:t>
            </w:r>
            <w:proofErr w:type="gramEnd"/>
            <w:r w:rsidRPr="00BC66DA">
              <w:rPr>
                <w:rFonts w:eastAsia="Calibri" w:asciiTheme="majorHAnsi" w:hAnsiTheme="majorHAnsi" w:cstheme="majorHAnsi"/>
                <w:sz w:val="24"/>
                <w:szCs w:val="24"/>
              </w:rPr>
              <w:t>/dL</w:t>
            </w:r>
          </w:p>
        </w:tc>
        <w:tc>
          <w:tcPr>
            <w:tcW w:w="60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0A9FB079" w14:textId="77777777">
            <w:pPr>
              <w:rPr>
                <w:rFonts w:asciiTheme="majorHAnsi" w:hAnsiTheme="majorHAnsi" w:cstheme="majorHAnsi"/>
                <w:sz w:val="24"/>
                <w:szCs w:val="24"/>
              </w:rPr>
            </w:pPr>
            <w:r w:rsidRPr="00BC66DA">
              <w:rPr>
                <w:rFonts w:eastAsia="Calibri" w:asciiTheme="majorHAnsi" w:hAnsiTheme="majorHAnsi" w:cstheme="majorHAnsi"/>
                <w:sz w:val="24"/>
                <w:szCs w:val="24"/>
              </w:rPr>
              <w:t>Within 3 days of referral, initial contact must be by phone</w:t>
            </w:r>
          </w:p>
        </w:tc>
      </w:tr>
      <w:tr w:rsidRPr="00BC66DA" w:rsidR="00BC66DA" w:rsidTr="00B8078B" w14:paraId="405CA241" w14:textId="77777777">
        <w:tc>
          <w:tcPr>
            <w:tcW w:w="33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17370E5E" w14:textId="77777777">
            <w:pPr>
              <w:rPr>
                <w:rFonts w:asciiTheme="majorHAnsi" w:hAnsiTheme="majorHAnsi" w:cstheme="majorHAnsi"/>
                <w:sz w:val="24"/>
                <w:szCs w:val="24"/>
              </w:rPr>
            </w:pPr>
            <w:r w:rsidRPr="00BC66DA">
              <w:rPr>
                <w:rFonts w:eastAsia="Calibri" w:asciiTheme="majorHAnsi" w:hAnsiTheme="majorHAnsi" w:cstheme="majorHAnsi"/>
                <w:sz w:val="24"/>
                <w:szCs w:val="24"/>
              </w:rPr>
              <w:t xml:space="preserve">45 + </w:t>
            </w:r>
            <w:proofErr w:type="gramStart"/>
            <w:r w:rsidRPr="00BC66DA">
              <w:rPr>
                <w:rFonts w:eastAsia="Calibri" w:asciiTheme="majorHAnsi" w:hAnsiTheme="majorHAnsi" w:cstheme="majorHAnsi"/>
                <w:sz w:val="24"/>
                <w:szCs w:val="24"/>
              </w:rPr>
              <w:t>µg</w:t>
            </w:r>
            <w:proofErr w:type="gramEnd"/>
            <w:r w:rsidRPr="00BC66DA">
              <w:rPr>
                <w:rFonts w:eastAsia="Calibri" w:asciiTheme="majorHAnsi" w:hAnsiTheme="majorHAnsi" w:cstheme="majorHAnsi"/>
                <w:sz w:val="24"/>
                <w:szCs w:val="24"/>
              </w:rPr>
              <w:t>/dL</w:t>
            </w:r>
          </w:p>
        </w:tc>
        <w:tc>
          <w:tcPr>
            <w:tcW w:w="6030" w:type="dxa"/>
            <w:tcBorders>
              <w:top w:val="single" w:color="auto" w:sz="8" w:space="0"/>
              <w:left w:val="single" w:color="auto" w:sz="8" w:space="0"/>
              <w:bottom w:val="single" w:color="auto" w:sz="8" w:space="0"/>
              <w:right w:val="single" w:color="auto" w:sz="8" w:space="0"/>
            </w:tcBorders>
          </w:tcPr>
          <w:p w:rsidRPr="00BC66DA" w:rsidR="00BC66DA" w:rsidP="00BC66DA" w:rsidRDefault="00BC66DA" w14:paraId="362EE6E5" w14:textId="77777777">
            <w:pPr>
              <w:rPr>
                <w:rFonts w:asciiTheme="majorHAnsi" w:hAnsiTheme="majorHAnsi" w:cstheme="majorHAnsi"/>
                <w:sz w:val="24"/>
                <w:szCs w:val="24"/>
              </w:rPr>
            </w:pPr>
            <w:r w:rsidRPr="00BC66DA">
              <w:rPr>
                <w:rFonts w:eastAsia="Calibri" w:asciiTheme="majorHAnsi" w:hAnsiTheme="majorHAnsi" w:cstheme="majorHAnsi"/>
                <w:sz w:val="24"/>
                <w:szCs w:val="24"/>
              </w:rPr>
              <w:t>Within 24 hours of referral, initial contact must be by phone</w:t>
            </w:r>
          </w:p>
        </w:tc>
      </w:tr>
    </w:tbl>
    <w:p w:rsidR="00BC66DA" w:rsidP="00BC66DA" w:rsidRDefault="00BC66DA" w14:paraId="72EAA518" w14:textId="0ECA407E"/>
    <w:p w:rsidRPr="00BC66DA" w:rsidR="00BC66DA" w:rsidP="00BC66DA" w:rsidRDefault="00BC66DA" w14:paraId="1A944BB4" w14:textId="43D2B951">
      <w:pPr>
        <w:pStyle w:val="ListParagraph"/>
        <w:numPr>
          <w:ilvl w:val="0"/>
          <w:numId w:val="1"/>
        </w:numPr>
        <w:rPr>
          <w:rFonts w:asciiTheme="majorHAnsi" w:hAnsiTheme="majorHAnsi" w:cstheme="majorHAnsi"/>
          <w:sz w:val="24"/>
          <w:szCs w:val="24"/>
        </w:rPr>
      </w:pPr>
      <w:r w:rsidRPr="00BC66DA">
        <w:rPr>
          <w:rFonts w:asciiTheme="majorHAnsi" w:hAnsiTheme="majorHAnsi" w:cstheme="majorHAnsi"/>
          <w:sz w:val="24"/>
          <w:szCs w:val="24"/>
        </w:rPr>
        <w:t xml:space="preserve">At least three contact attempts, using two different methods, must be made prior to closing the individual’s chart in the case management database system. Please consider the severity of blood lead level when selecting contact methods; levels ≥ 10 </w:t>
      </w:r>
      <w:proofErr w:type="gramStart"/>
      <w:r>
        <w:rPr>
          <w:rFonts w:asciiTheme="majorHAnsi" w:hAnsiTheme="majorHAnsi" w:cstheme="majorHAnsi"/>
          <w:sz w:val="24"/>
          <w:szCs w:val="24"/>
        </w:rPr>
        <w:t>µg</w:t>
      </w:r>
      <w:proofErr w:type="gramEnd"/>
      <w:r w:rsidRPr="00BC66DA">
        <w:rPr>
          <w:rFonts w:asciiTheme="majorHAnsi" w:hAnsiTheme="majorHAnsi" w:cstheme="majorHAnsi"/>
          <w:sz w:val="24"/>
          <w:szCs w:val="24"/>
        </w:rPr>
        <w:t>/dL must be contacted by phone first.</w:t>
      </w:r>
    </w:p>
    <w:p w:rsidRPr="00BC66DA" w:rsidR="00BC66DA" w:rsidP="00BC66DA" w:rsidRDefault="00BC66DA" w14:paraId="2C9908EC" w14:textId="40022767">
      <w:pPr>
        <w:pStyle w:val="ListParagraph"/>
        <w:numPr>
          <w:ilvl w:val="0"/>
          <w:numId w:val="1"/>
        </w:numPr>
        <w:rPr>
          <w:rFonts w:asciiTheme="majorHAnsi" w:hAnsiTheme="majorHAnsi" w:cstheme="majorHAnsi"/>
          <w:sz w:val="24"/>
          <w:szCs w:val="24"/>
        </w:rPr>
      </w:pPr>
      <w:r w:rsidRPr="00BC66DA">
        <w:rPr>
          <w:rFonts w:asciiTheme="majorHAnsi" w:hAnsiTheme="majorHAnsi" w:cstheme="majorHAnsi"/>
          <w:sz w:val="24"/>
          <w:szCs w:val="24"/>
        </w:rPr>
        <w:t>Contact attempts may include but are not limited to</w:t>
      </w:r>
      <w:r w:rsidR="00DB5931">
        <w:rPr>
          <w:rFonts w:asciiTheme="majorHAnsi" w:hAnsiTheme="majorHAnsi" w:cstheme="majorHAnsi"/>
          <w:sz w:val="24"/>
          <w:szCs w:val="24"/>
        </w:rPr>
        <w:t xml:space="preserve"> the</w:t>
      </w:r>
      <w:r w:rsidRPr="00BC66DA">
        <w:rPr>
          <w:rFonts w:asciiTheme="majorHAnsi" w:hAnsiTheme="majorHAnsi" w:cstheme="majorHAnsi"/>
          <w:sz w:val="24"/>
          <w:szCs w:val="24"/>
        </w:rPr>
        <w:t xml:space="preserve"> options below. Consult local health department policy to ensure you are following HIPAA guidelines. </w:t>
      </w:r>
    </w:p>
    <w:p w:rsidR="004D2D61" w:rsidP="004D2D61" w:rsidRDefault="00BC66DA" w14:paraId="777F8AA5" w14:textId="77777777">
      <w:pPr>
        <w:pStyle w:val="ListParagraph"/>
        <w:numPr>
          <w:ilvl w:val="1"/>
          <w:numId w:val="1"/>
        </w:numPr>
        <w:rPr>
          <w:rFonts w:asciiTheme="majorHAnsi" w:hAnsiTheme="majorHAnsi" w:cstheme="majorHAnsi"/>
          <w:sz w:val="24"/>
          <w:szCs w:val="24"/>
        </w:rPr>
      </w:pPr>
      <w:r>
        <w:rPr>
          <w:rFonts w:asciiTheme="majorHAnsi" w:hAnsiTheme="majorHAnsi" w:cstheme="majorHAnsi"/>
          <w:sz w:val="24"/>
          <w:szCs w:val="24"/>
        </w:rPr>
        <w:t>Phone call</w:t>
      </w:r>
    </w:p>
    <w:p w:rsidRPr="004D2D61" w:rsidR="00BC66DA" w:rsidP="004D2D61" w:rsidRDefault="00BC66DA" w14:paraId="7AC92387" w14:textId="0E4CBBDD">
      <w:pPr>
        <w:pStyle w:val="ListParagraph"/>
        <w:numPr>
          <w:ilvl w:val="1"/>
          <w:numId w:val="1"/>
        </w:numPr>
        <w:rPr>
          <w:rFonts w:asciiTheme="majorHAnsi" w:hAnsiTheme="majorHAnsi" w:cstheme="majorHAnsi"/>
          <w:sz w:val="24"/>
          <w:szCs w:val="24"/>
        </w:rPr>
      </w:pPr>
      <w:r w:rsidRPr="004D2D61">
        <w:rPr>
          <w:rFonts w:eastAsia="Calibri" w:asciiTheme="majorHAnsi" w:hAnsiTheme="majorHAnsi" w:cstheme="majorHAnsi"/>
          <w:sz w:val="24"/>
          <w:szCs w:val="24"/>
        </w:rPr>
        <w:t>Letter</w:t>
      </w:r>
      <w:r w:rsidRPr="004D2D61" w:rsidR="00D27BD9">
        <w:rPr>
          <w:rFonts w:eastAsia="Calibri" w:asciiTheme="majorHAnsi" w:hAnsiTheme="majorHAnsi" w:cstheme="majorHAnsi"/>
          <w:sz w:val="24"/>
          <w:szCs w:val="24"/>
        </w:rPr>
        <w:t>, if unable to contact by phone</w:t>
      </w:r>
      <w:r w:rsidRPr="004D2D61">
        <w:rPr>
          <w:rFonts w:eastAsia="Calibri" w:asciiTheme="majorHAnsi" w:hAnsiTheme="majorHAnsi" w:cstheme="majorHAnsi"/>
          <w:sz w:val="24"/>
          <w:szCs w:val="24"/>
        </w:rPr>
        <w:t xml:space="preserve"> (</w:t>
      </w:r>
      <w:hyperlink w:history="1" r:id="rId11">
        <w:r w:rsidRPr="007824F5" w:rsidR="00AB5272">
          <w:rPr>
            <w:rStyle w:val="Hyperlink"/>
            <w:rFonts w:asciiTheme="majorHAnsi" w:hAnsiTheme="majorHAnsi" w:cstheme="majorHAnsi"/>
            <w:sz w:val="24"/>
            <w:szCs w:val="24"/>
          </w:rPr>
          <w:t>Family Unable to Reach</w:t>
        </w:r>
      </w:hyperlink>
      <w:r w:rsidRPr="004D2D61">
        <w:rPr>
          <w:rFonts w:eastAsia="Calibri" w:asciiTheme="majorHAnsi" w:hAnsiTheme="majorHAnsi" w:cstheme="majorHAnsi"/>
          <w:sz w:val="24"/>
          <w:szCs w:val="24"/>
        </w:rPr>
        <w:t>)</w:t>
      </w:r>
      <w:r w:rsidRPr="004D2D61" w:rsidR="00157E77">
        <w:rPr>
          <w:rFonts w:eastAsia="Calibri" w:asciiTheme="majorHAnsi" w:hAnsiTheme="majorHAnsi" w:cstheme="majorHAnsi"/>
          <w:sz w:val="24"/>
          <w:szCs w:val="24"/>
        </w:rPr>
        <w:t xml:space="preserve"> </w:t>
      </w:r>
      <w:r w:rsidRPr="004D2D61" w:rsidR="00157E77">
        <w:rPr>
          <w:rFonts w:asciiTheme="majorHAnsi" w:hAnsiTheme="majorHAnsi" w:cstheme="majorHAnsi"/>
          <w:sz w:val="24"/>
          <w:szCs w:val="24"/>
        </w:rPr>
        <w:t>with the enclosures: “</w:t>
      </w:r>
      <w:hyperlink w:history="1" r:id="rId12">
        <w:r w:rsidRPr="0052450F" w:rsidR="007624FC">
          <w:rPr>
            <w:rStyle w:val="Hyperlink"/>
            <w:rFonts w:asciiTheme="majorHAnsi" w:hAnsiTheme="majorHAnsi" w:cstheme="majorHAnsi"/>
            <w:sz w:val="24"/>
            <w:szCs w:val="24"/>
          </w:rPr>
          <w:t>What Your Child's Blood Lead Test Means</w:t>
        </w:r>
      </w:hyperlink>
      <w:r w:rsidRPr="004D2D61" w:rsidR="00157E77">
        <w:rPr>
          <w:rFonts w:asciiTheme="majorHAnsi" w:hAnsiTheme="majorHAnsi" w:cstheme="majorHAnsi"/>
          <w:sz w:val="24"/>
          <w:szCs w:val="24"/>
        </w:rPr>
        <w:t xml:space="preserve"> “</w:t>
      </w:r>
      <w:hyperlink w:history="1" r:id="rId13">
        <w:r w:rsidRPr="0052450F" w:rsidR="00A25506">
          <w:rPr>
            <w:rStyle w:val="Hyperlink"/>
            <w:rFonts w:asciiTheme="majorHAnsi" w:hAnsiTheme="majorHAnsi" w:cstheme="majorHAnsi"/>
            <w:sz w:val="24"/>
            <w:szCs w:val="24"/>
          </w:rPr>
          <w:t>Is Your Child Safe From Lead Poisoning</w:t>
        </w:r>
      </w:hyperlink>
      <w:r w:rsidRPr="004D2D61" w:rsidR="00157E77">
        <w:rPr>
          <w:rFonts w:asciiTheme="majorHAnsi" w:hAnsiTheme="majorHAnsi" w:cstheme="majorHAnsi"/>
          <w:sz w:val="24"/>
          <w:szCs w:val="24"/>
        </w:rPr>
        <w:t>,” “</w:t>
      </w:r>
      <w:hyperlink w:history="1" r:id="rId14">
        <w:r w:rsidRPr="0052450F" w:rsidR="001A06D2">
          <w:rPr>
            <w:rStyle w:val="Hyperlink"/>
            <w:rFonts w:asciiTheme="majorHAnsi" w:hAnsiTheme="majorHAnsi" w:cstheme="majorHAnsi"/>
            <w:sz w:val="24"/>
            <w:szCs w:val="24"/>
          </w:rPr>
          <w:t>Well Fed Means Less Lead</w:t>
        </w:r>
      </w:hyperlink>
      <w:r w:rsidRPr="004D2D61" w:rsidR="00157E77">
        <w:rPr>
          <w:rFonts w:asciiTheme="majorHAnsi" w:hAnsiTheme="majorHAnsi" w:cstheme="majorHAnsi"/>
          <w:sz w:val="24"/>
          <w:szCs w:val="24"/>
        </w:rPr>
        <w:t>,” and</w:t>
      </w:r>
      <w:r w:rsidR="007C28B5">
        <w:rPr>
          <w:rFonts w:asciiTheme="majorHAnsi" w:hAnsiTheme="majorHAnsi" w:cstheme="majorHAnsi"/>
          <w:sz w:val="24"/>
          <w:szCs w:val="24"/>
        </w:rPr>
        <w:t xml:space="preserve"> </w:t>
      </w:r>
      <w:hyperlink w:history="1" r:id="rId15">
        <w:r w:rsidRPr="0052450F" w:rsidR="007C28B5">
          <w:rPr>
            <w:rStyle w:val="Hyperlink"/>
            <w:rFonts w:asciiTheme="majorHAnsi" w:hAnsiTheme="majorHAnsi" w:cstheme="majorHAnsi"/>
            <w:sz w:val="24"/>
            <w:szCs w:val="24"/>
          </w:rPr>
          <w:t xml:space="preserve">Lead Safe Home Application </w:t>
        </w:r>
      </w:hyperlink>
      <w:r w:rsidRPr="004D2D61" w:rsidR="00157E77">
        <w:rPr>
          <w:rFonts w:asciiTheme="majorHAnsi" w:hAnsiTheme="majorHAnsi" w:cstheme="majorHAnsi"/>
          <w:sz w:val="24"/>
          <w:szCs w:val="24"/>
        </w:rPr>
        <w:t xml:space="preserve">. </w:t>
      </w:r>
    </w:p>
    <w:p w:rsidRPr="003E5E1A" w:rsidR="00BC66DA" w:rsidP="00BC66DA" w:rsidRDefault="00BC66DA" w14:paraId="474722E5" w14:textId="7B90FA81">
      <w:pPr>
        <w:pStyle w:val="ListParagraph"/>
        <w:numPr>
          <w:ilvl w:val="1"/>
          <w:numId w:val="1"/>
        </w:numPr>
        <w:rPr>
          <w:rFonts w:asciiTheme="majorHAnsi" w:hAnsiTheme="majorHAnsi" w:cstheme="majorHAnsi"/>
          <w:color w:val="000000" w:themeColor="text1"/>
          <w:sz w:val="24"/>
          <w:szCs w:val="24"/>
        </w:rPr>
      </w:pPr>
      <w:r>
        <w:rPr>
          <w:rFonts w:asciiTheme="majorHAnsi" w:hAnsiTheme="majorHAnsi" w:cstheme="majorHAnsi"/>
          <w:sz w:val="24"/>
          <w:szCs w:val="24"/>
        </w:rPr>
        <w:t>Email</w:t>
      </w:r>
      <w:r w:rsidR="00815BE3">
        <w:rPr>
          <w:rFonts w:asciiTheme="majorHAnsi" w:hAnsiTheme="majorHAnsi" w:cstheme="majorHAnsi"/>
          <w:sz w:val="24"/>
          <w:szCs w:val="24"/>
        </w:rPr>
        <w:t xml:space="preserve">, include link </w:t>
      </w:r>
      <w:hyperlink w:tgtFrame="_blank" w:tooltip="https://www.michigan.gov/mileadsafe" w:history="1" r:id="rId16">
        <w:r w:rsidRPr="004B4A38" w:rsidR="003E5E1A">
          <w:rPr>
            <w:rStyle w:val="Hyperlink"/>
            <w:rFonts w:asciiTheme="majorHAnsi" w:hAnsiTheme="majorHAnsi" w:cstheme="majorHAnsi"/>
            <w:sz w:val="24"/>
            <w:szCs w:val="24"/>
          </w:rPr>
          <w:t>https://www.michigan.gov/mileadsafe</w:t>
        </w:r>
      </w:hyperlink>
      <w:r w:rsidR="003E5E1A">
        <w:rPr>
          <w:rStyle w:val="Hyperlink"/>
          <w:rFonts w:asciiTheme="majorHAnsi" w:hAnsiTheme="majorHAnsi" w:cstheme="majorHAnsi"/>
          <w:sz w:val="24"/>
          <w:szCs w:val="24"/>
        </w:rPr>
        <w:t xml:space="preserve"> </w:t>
      </w:r>
      <w:r w:rsidRPr="003E5E1A" w:rsidR="003E5E1A">
        <w:rPr>
          <w:rStyle w:val="Hyperlink"/>
          <w:rFonts w:asciiTheme="majorHAnsi" w:hAnsiTheme="majorHAnsi" w:cstheme="majorHAnsi"/>
          <w:color w:val="000000" w:themeColor="text1"/>
          <w:sz w:val="24"/>
          <w:szCs w:val="24"/>
          <w:u w:val="none"/>
        </w:rPr>
        <w:t xml:space="preserve">and any other educational resources as identified by local public health. </w:t>
      </w:r>
    </w:p>
    <w:p w:rsidRPr="002D3D54" w:rsidR="00BC66DA" w:rsidP="002D3D54" w:rsidRDefault="00BC66DA" w14:paraId="1FB50D53" w14:textId="0816F9BA">
      <w:pPr>
        <w:pStyle w:val="ListParagraph"/>
        <w:numPr>
          <w:ilvl w:val="1"/>
          <w:numId w:val="1"/>
        </w:numPr>
        <w:rPr>
          <w:rFonts w:asciiTheme="majorHAnsi" w:hAnsiTheme="majorHAnsi" w:cstheme="majorHAnsi"/>
          <w:color w:val="000000" w:themeColor="text1"/>
          <w:sz w:val="24"/>
          <w:szCs w:val="24"/>
        </w:rPr>
      </w:pPr>
      <w:r>
        <w:rPr>
          <w:rFonts w:asciiTheme="majorHAnsi" w:hAnsiTheme="majorHAnsi" w:cstheme="majorHAnsi"/>
          <w:sz w:val="24"/>
          <w:szCs w:val="24"/>
        </w:rPr>
        <w:t>Text</w:t>
      </w:r>
      <w:r w:rsidR="002D3D54">
        <w:rPr>
          <w:rFonts w:asciiTheme="majorHAnsi" w:hAnsiTheme="majorHAnsi" w:cstheme="majorHAnsi"/>
          <w:sz w:val="24"/>
          <w:szCs w:val="24"/>
        </w:rPr>
        <w:t xml:space="preserve">, include link </w:t>
      </w:r>
      <w:hyperlink w:tgtFrame="_blank" w:tooltip="https://www.michigan.gov/mileadsafe" w:history="1" r:id="rId17">
        <w:r w:rsidRPr="004B4A38" w:rsidR="002D3D54">
          <w:rPr>
            <w:rStyle w:val="Hyperlink"/>
            <w:rFonts w:asciiTheme="majorHAnsi" w:hAnsiTheme="majorHAnsi" w:cstheme="majorHAnsi"/>
            <w:sz w:val="24"/>
            <w:szCs w:val="24"/>
          </w:rPr>
          <w:t>https://www.michigan.gov/mileadsafe</w:t>
        </w:r>
      </w:hyperlink>
      <w:r w:rsidR="002D3D54">
        <w:rPr>
          <w:rStyle w:val="Hyperlink"/>
          <w:rFonts w:asciiTheme="majorHAnsi" w:hAnsiTheme="majorHAnsi" w:cstheme="majorHAnsi"/>
          <w:sz w:val="24"/>
          <w:szCs w:val="24"/>
        </w:rPr>
        <w:t xml:space="preserve"> </w:t>
      </w:r>
      <w:r w:rsidRPr="003E5E1A" w:rsidR="002D3D54">
        <w:rPr>
          <w:rStyle w:val="Hyperlink"/>
          <w:rFonts w:asciiTheme="majorHAnsi" w:hAnsiTheme="majorHAnsi" w:cstheme="majorHAnsi"/>
          <w:color w:val="000000" w:themeColor="text1"/>
          <w:sz w:val="24"/>
          <w:szCs w:val="24"/>
          <w:u w:val="none"/>
        </w:rPr>
        <w:t xml:space="preserve">and any other educational resources as identified by local public health. </w:t>
      </w:r>
    </w:p>
    <w:p w:rsidR="00BC66DA" w:rsidP="00BC66DA" w:rsidRDefault="00BC66DA" w14:paraId="69B3593D" w14:textId="78DAAFA6">
      <w:pPr>
        <w:pStyle w:val="ListParagraph"/>
        <w:numPr>
          <w:ilvl w:val="1"/>
          <w:numId w:val="1"/>
        </w:numPr>
        <w:rPr>
          <w:rFonts w:asciiTheme="majorHAnsi" w:hAnsiTheme="majorHAnsi" w:cstheme="majorHAnsi"/>
          <w:sz w:val="24"/>
          <w:szCs w:val="24"/>
        </w:rPr>
      </w:pPr>
      <w:r>
        <w:rPr>
          <w:rFonts w:asciiTheme="majorHAnsi" w:hAnsiTheme="majorHAnsi" w:cstheme="majorHAnsi"/>
          <w:sz w:val="24"/>
          <w:szCs w:val="24"/>
        </w:rPr>
        <w:t>Unannounced home visit</w:t>
      </w:r>
    </w:p>
    <w:p w:rsidRPr="00BC66DA" w:rsidR="00BC66DA" w:rsidP="00563C9C" w:rsidRDefault="00BC66DA" w14:paraId="09677F79" w14:textId="14933347">
      <w:pPr>
        <w:pStyle w:val="ListParagraph"/>
        <w:rPr>
          <w:rFonts w:asciiTheme="majorHAnsi" w:hAnsiTheme="majorHAnsi" w:cstheme="majorBidi"/>
          <w:sz w:val="24"/>
          <w:szCs w:val="24"/>
        </w:rPr>
      </w:pPr>
      <w:r w:rsidRPr="76A2BF4B">
        <w:rPr>
          <w:rFonts w:asciiTheme="majorHAnsi" w:hAnsiTheme="majorHAnsi" w:cstheme="majorBidi"/>
          <w:sz w:val="24"/>
          <w:szCs w:val="24"/>
        </w:rPr>
        <w:t>If contact attempts are unsuccessful,</w:t>
      </w:r>
      <w:r w:rsidRPr="76A2BF4B" w:rsidR="009028C9">
        <w:rPr>
          <w:rFonts w:asciiTheme="majorHAnsi" w:hAnsiTheme="majorHAnsi" w:cstheme="majorBidi"/>
          <w:sz w:val="24"/>
          <w:szCs w:val="24"/>
        </w:rPr>
        <w:t xml:space="preserve"> notify the </w:t>
      </w:r>
      <w:r w:rsidRPr="76A2BF4B" w:rsidR="000B5B06">
        <w:rPr>
          <w:rFonts w:asciiTheme="majorHAnsi" w:hAnsiTheme="majorHAnsi" w:cstheme="majorBidi"/>
          <w:sz w:val="24"/>
          <w:szCs w:val="24"/>
        </w:rPr>
        <w:t>N</w:t>
      </w:r>
      <w:r w:rsidRPr="76A2BF4B" w:rsidR="009028C9">
        <w:rPr>
          <w:rFonts w:asciiTheme="majorHAnsi" w:hAnsiTheme="majorHAnsi" w:cstheme="majorBidi"/>
          <w:sz w:val="24"/>
          <w:szCs w:val="24"/>
        </w:rPr>
        <w:t xml:space="preserve">urse </w:t>
      </w:r>
      <w:r w:rsidRPr="76A2BF4B" w:rsidR="000B5B06">
        <w:rPr>
          <w:rFonts w:asciiTheme="majorHAnsi" w:hAnsiTheme="majorHAnsi" w:cstheme="majorBidi"/>
          <w:sz w:val="24"/>
          <w:szCs w:val="24"/>
        </w:rPr>
        <w:t>C</w:t>
      </w:r>
      <w:r w:rsidRPr="76A2BF4B" w:rsidR="009028C9">
        <w:rPr>
          <w:rFonts w:asciiTheme="majorHAnsi" w:hAnsiTheme="majorHAnsi" w:cstheme="majorBidi"/>
          <w:sz w:val="24"/>
          <w:szCs w:val="24"/>
        </w:rPr>
        <w:t xml:space="preserve">ase </w:t>
      </w:r>
      <w:r w:rsidRPr="76A2BF4B" w:rsidR="000B5B06">
        <w:rPr>
          <w:rFonts w:asciiTheme="majorHAnsi" w:hAnsiTheme="majorHAnsi" w:cstheme="majorBidi"/>
          <w:sz w:val="24"/>
          <w:szCs w:val="24"/>
        </w:rPr>
        <w:t>M</w:t>
      </w:r>
      <w:r w:rsidRPr="76A2BF4B" w:rsidR="009028C9">
        <w:rPr>
          <w:rFonts w:asciiTheme="majorHAnsi" w:hAnsiTheme="majorHAnsi" w:cstheme="majorBidi"/>
          <w:sz w:val="24"/>
          <w:szCs w:val="24"/>
        </w:rPr>
        <w:t>anager</w:t>
      </w:r>
      <w:r w:rsidRPr="76A2BF4B" w:rsidR="00843CD6">
        <w:rPr>
          <w:rFonts w:asciiTheme="majorHAnsi" w:hAnsiTheme="majorHAnsi" w:cstheme="majorBidi"/>
          <w:sz w:val="24"/>
          <w:szCs w:val="24"/>
        </w:rPr>
        <w:t xml:space="preserve">.  The </w:t>
      </w:r>
      <w:r w:rsidRPr="76A2BF4B" w:rsidR="000B5B06">
        <w:rPr>
          <w:rFonts w:asciiTheme="majorHAnsi" w:hAnsiTheme="majorHAnsi" w:cstheme="majorBidi"/>
          <w:sz w:val="24"/>
          <w:szCs w:val="24"/>
        </w:rPr>
        <w:t>N</w:t>
      </w:r>
      <w:r w:rsidRPr="76A2BF4B" w:rsidR="00843CD6">
        <w:rPr>
          <w:rFonts w:asciiTheme="majorHAnsi" w:hAnsiTheme="majorHAnsi" w:cstheme="majorBidi"/>
          <w:sz w:val="24"/>
          <w:szCs w:val="24"/>
        </w:rPr>
        <w:t>urse</w:t>
      </w:r>
      <w:r w:rsidRPr="76A2BF4B" w:rsidR="000B5B06">
        <w:rPr>
          <w:rFonts w:asciiTheme="majorHAnsi" w:hAnsiTheme="majorHAnsi" w:cstheme="majorBidi"/>
          <w:sz w:val="24"/>
          <w:szCs w:val="24"/>
        </w:rPr>
        <w:t xml:space="preserve"> C</w:t>
      </w:r>
      <w:r w:rsidRPr="76A2BF4B" w:rsidR="00843CD6">
        <w:rPr>
          <w:rFonts w:asciiTheme="majorHAnsi" w:hAnsiTheme="majorHAnsi" w:cstheme="majorBidi"/>
          <w:sz w:val="24"/>
          <w:szCs w:val="24"/>
        </w:rPr>
        <w:t xml:space="preserve">ase </w:t>
      </w:r>
      <w:r w:rsidRPr="76A2BF4B" w:rsidR="000B5B06">
        <w:rPr>
          <w:rFonts w:asciiTheme="majorHAnsi" w:hAnsiTheme="majorHAnsi" w:cstheme="majorBidi"/>
          <w:sz w:val="24"/>
          <w:szCs w:val="24"/>
        </w:rPr>
        <w:t>M</w:t>
      </w:r>
      <w:r w:rsidRPr="76A2BF4B" w:rsidR="00843CD6">
        <w:rPr>
          <w:rFonts w:asciiTheme="majorHAnsi" w:hAnsiTheme="majorHAnsi" w:cstheme="majorBidi"/>
          <w:sz w:val="24"/>
          <w:szCs w:val="24"/>
        </w:rPr>
        <w:t xml:space="preserve">anager is responsible for </w:t>
      </w:r>
      <w:r w:rsidR="007C28B5">
        <w:rPr>
          <w:rFonts w:asciiTheme="majorHAnsi" w:hAnsiTheme="majorHAnsi" w:cstheme="majorBidi"/>
          <w:sz w:val="24"/>
          <w:szCs w:val="24"/>
        </w:rPr>
        <w:t>communicating with</w:t>
      </w:r>
      <w:r w:rsidRPr="76A2BF4B">
        <w:rPr>
          <w:rFonts w:asciiTheme="majorHAnsi" w:hAnsiTheme="majorHAnsi" w:cstheme="majorBidi"/>
          <w:sz w:val="24"/>
          <w:szCs w:val="24"/>
        </w:rPr>
        <w:t xml:space="preserve"> the child’s primary care provider and/or </w:t>
      </w:r>
      <w:r w:rsidR="00B95E57">
        <w:rPr>
          <w:rFonts w:asciiTheme="majorHAnsi" w:hAnsiTheme="majorHAnsi" w:cstheme="majorBidi"/>
          <w:sz w:val="24"/>
          <w:szCs w:val="24"/>
        </w:rPr>
        <w:t xml:space="preserve">Medicaid </w:t>
      </w:r>
      <w:r w:rsidRPr="76A2BF4B">
        <w:rPr>
          <w:rFonts w:asciiTheme="majorHAnsi" w:hAnsiTheme="majorHAnsi" w:cstheme="majorBidi"/>
          <w:sz w:val="24"/>
          <w:szCs w:val="24"/>
        </w:rPr>
        <w:t xml:space="preserve">Health Plan to </w:t>
      </w:r>
      <w:r w:rsidR="00F55A2A">
        <w:rPr>
          <w:rFonts w:asciiTheme="majorHAnsi" w:hAnsiTheme="majorHAnsi" w:cstheme="majorBidi"/>
          <w:sz w:val="24"/>
          <w:szCs w:val="24"/>
        </w:rPr>
        <w:t xml:space="preserve">facilitate </w:t>
      </w:r>
      <w:r w:rsidRPr="76A2BF4B">
        <w:rPr>
          <w:rFonts w:asciiTheme="majorHAnsi" w:hAnsiTheme="majorHAnsi" w:cstheme="majorBidi"/>
          <w:sz w:val="24"/>
          <w:szCs w:val="24"/>
        </w:rPr>
        <w:t>assist</w:t>
      </w:r>
      <w:r w:rsidR="00F55A2A">
        <w:rPr>
          <w:rFonts w:asciiTheme="majorHAnsi" w:hAnsiTheme="majorHAnsi" w:cstheme="majorBidi"/>
          <w:sz w:val="24"/>
          <w:szCs w:val="24"/>
        </w:rPr>
        <w:t>ance</w:t>
      </w:r>
      <w:r w:rsidRPr="76A2BF4B">
        <w:rPr>
          <w:rFonts w:asciiTheme="majorHAnsi" w:hAnsiTheme="majorHAnsi" w:cstheme="majorBidi"/>
          <w:sz w:val="24"/>
          <w:szCs w:val="24"/>
        </w:rPr>
        <w:t xml:space="preserve"> in reaching the parent or guardian.  If </w:t>
      </w:r>
      <w:proofErr w:type="gramStart"/>
      <w:r w:rsidRPr="76A2BF4B">
        <w:rPr>
          <w:rFonts w:asciiTheme="majorHAnsi" w:hAnsiTheme="majorHAnsi" w:cstheme="majorBidi"/>
          <w:sz w:val="24"/>
          <w:szCs w:val="24"/>
        </w:rPr>
        <w:t>child’s</w:t>
      </w:r>
      <w:proofErr w:type="gramEnd"/>
      <w:r w:rsidRPr="76A2BF4B">
        <w:rPr>
          <w:rFonts w:asciiTheme="majorHAnsi" w:hAnsiTheme="majorHAnsi" w:cstheme="majorBidi"/>
          <w:sz w:val="24"/>
          <w:szCs w:val="24"/>
        </w:rPr>
        <w:t xml:space="preserve"> blood lead level is ≥ 20 </w:t>
      </w:r>
      <w:proofErr w:type="gramStart"/>
      <w:r w:rsidRPr="76A2BF4B">
        <w:rPr>
          <w:rFonts w:asciiTheme="majorHAnsi" w:hAnsiTheme="majorHAnsi" w:cstheme="majorBidi"/>
          <w:sz w:val="24"/>
          <w:szCs w:val="24"/>
        </w:rPr>
        <w:t>µg</w:t>
      </w:r>
      <w:proofErr w:type="gramEnd"/>
      <w:r w:rsidRPr="76A2BF4B">
        <w:rPr>
          <w:rFonts w:asciiTheme="majorHAnsi" w:hAnsiTheme="majorHAnsi" w:cstheme="majorBidi"/>
          <w:sz w:val="24"/>
          <w:szCs w:val="24"/>
        </w:rPr>
        <w:t>/dL</w:t>
      </w:r>
      <w:r w:rsidRPr="76A2BF4B" w:rsidR="00DB5931">
        <w:rPr>
          <w:rFonts w:asciiTheme="majorHAnsi" w:hAnsiTheme="majorHAnsi" w:cstheme="majorBidi"/>
          <w:sz w:val="24"/>
          <w:szCs w:val="24"/>
        </w:rPr>
        <w:t>,</w:t>
      </w:r>
      <w:r w:rsidRPr="76A2BF4B">
        <w:rPr>
          <w:rFonts w:asciiTheme="majorHAnsi" w:hAnsiTheme="majorHAnsi" w:cstheme="majorBidi"/>
          <w:sz w:val="24"/>
          <w:szCs w:val="24"/>
        </w:rPr>
        <w:t xml:space="preserve"> contact Mi-CLPPP Nurse Consultant to discuss </w:t>
      </w:r>
      <w:proofErr w:type="gramStart"/>
      <w:r w:rsidRPr="76A2BF4B">
        <w:rPr>
          <w:rFonts w:asciiTheme="majorHAnsi" w:hAnsiTheme="majorHAnsi" w:cstheme="majorBidi"/>
          <w:sz w:val="24"/>
          <w:szCs w:val="24"/>
        </w:rPr>
        <w:t>next</w:t>
      </w:r>
      <w:proofErr w:type="gramEnd"/>
      <w:r w:rsidRPr="76A2BF4B">
        <w:rPr>
          <w:rFonts w:asciiTheme="majorHAnsi" w:hAnsiTheme="majorHAnsi" w:cstheme="majorBidi"/>
          <w:sz w:val="24"/>
          <w:szCs w:val="24"/>
        </w:rPr>
        <w:t xml:space="preserve"> steps.  </w:t>
      </w:r>
    </w:p>
    <w:p w:rsidRPr="00BC66DA" w:rsidR="00BC66DA" w:rsidP="00BC66DA" w:rsidRDefault="00BC66DA" w14:paraId="462DE950" w14:textId="2BC11704">
      <w:pPr>
        <w:pStyle w:val="ListParagraph"/>
        <w:numPr>
          <w:ilvl w:val="0"/>
          <w:numId w:val="1"/>
        </w:numPr>
        <w:rPr>
          <w:rFonts w:asciiTheme="majorHAnsi" w:hAnsiTheme="majorHAnsi" w:cstheme="majorHAnsi"/>
          <w:sz w:val="24"/>
          <w:szCs w:val="24"/>
        </w:rPr>
      </w:pPr>
      <w:r w:rsidRPr="00BC66DA">
        <w:rPr>
          <w:rFonts w:asciiTheme="majorHAnsi" w:hAnsiTheme="majorHAnsi" w:cstheme="majorHAnsi"/>
          <w:sz w:val="24"/>
          <w:szCs w:val="24"/>
        </w:rPr>
        <w:t>Document all contact attempts in the case management database system</w:t>
      </w:r>
      <w:r w:rsidR="00F241A4">
        <w:rPr>
          <w:rFonts w:asciiTheme="majorHAnsi" w:hAnsiTheme="majorHAnsi" w:cstheme="majorHAnsi"/>
          <w:sz w:val="24"/>
          <w:szCs w:val="24"/>
        </w:rPr>
        <w:t xml:space="preserve"> as instructed</w:t>
      </w:r>
      <w:r w:rsidR="001603CF">
        <w:rPr>
          <w:rFonts w:asciiTheme="majorHAnsi" w:hAnsiTheme="majorHAnsi" w:cstheme="majorHAnsi"/>
          <w:sz w:val="24"/>
          <w:szCs w:val="24"/>
        </w:rPr>
        <w:t xml:space="preserve"> in the </w:t>
      </w:r>
      <w:proofErr w:type="spellStart"/>
      <w:r w:rsidR="001603CF">
        <w:rPr>
          <w:rFonts w:asciiTheme="majorHAnsi" w:hAnsiTheme="majorHAnsi" w:cstheme="majorHAnsi"/>
          <w:sz w:val="24"/>
          <w:szCs w:val="24"/>
        </w:rPr>
        <w:t>MiCLEAR</w:t>
      </w:r>
      <w:proofErr w:type="spellEnd"/>
      <w:r w:rsidR="001603CF">
        <w:rPr>
          <w:rFonts w:asciiTheme="majorHAnsi" w:hAnsiTheme="majorHAnsi" w:cstheme="majorHAnsi"/>
          <w:sz w:val="24"/>
          <w:szCs w:val="24"/>
        </w:rPr>
        <w:t xml:space="preserve"> manual.</w:t>
      </w:r>
      <w:r w:rsidRPr="00BC66DA">
        <w:rPr>
          <w:rFonts w:asciiTheme="majorHAnsi" w:hAnsiTheme="majorHAnsi" w:cstheme="majorHAnsi"/>
          <w:sz w:val="24"/>
          <w:szCs w:val="24"/>
        </w:rPr>
        <w:t xml:space="preserve"> (</w:t>
      </w:r>
      <w:r w:rsidR="00DB5931">
        <w:rPr>
          <w:rFonts w:asciiTheme="majorHAnsi" w:hAnsiTheme="majorHAnsi" w:cstheme="majorHAnsi"/>
          <w:sz w:val="24"/>
          <w:szCs w:val="24"/>
        </w:rPr>
        <w:t>s</w:t>
      </w:r>
      <w:r w:rsidRPr="00BC66DA">
        <w:rPr>
          <w:rFonts w:asciiTheme="majorHAnsi" w:hAnsiTheme="majorHAnsi" w:cstheme="majorHAnsi"/>
          <w:sz w:val="24"/>
          <w:szCs w:val="24"/>
        </w:rPr>
        <w:t>ee Documentation Standards P</w:t>
      </w:r>
      <w:r>
        <w:rPr>
          <w:rFonts w:asciiTheme="majorHAnsi" w:hAnsiTheme="majorHAnsi" w:cstheme="majorHAnsi"/>
          <w:sz w:val="24"/>
          <w:szCs w:val="24"/>
        </w:rPr>
        <w:t>rocedure</w:t>
      </w:r>
      <w:r w:rsidRPr="00BC66DA">
        <w:rPr>
          <w:rFonts w:asciiTheme="majorHAnsi" w:hAnsiTheme="majorHAnsi" w:cstheme="majorHAnsi"/>
          <w:sz w:val="24"/>
          <w:szCs w:val="24"/>
        </w:rPr>
        <w:t xml:space="preserve"> for instruction)</w:t>
      </w:r>
      <w:r w:rsidR="00DB5931">
        <w:rPr>
          <w:rFonts w:asciiTheme="majorHAnsi" w:hAnsiTheme="majorHAnsi" w:cstheme="majorHAnsi"/>
          <w:sz w:val="24"/>
          <w:szCs w:val="24"/>
        </w:rPr>
        <w:t>.</w:t>
      </w:r>
    </w:p>
    <w:p w:rsidRPr="00BC66DA" w:rsidR="00127BDF" w:rsidP="00127BDF" w:rsidRDefault="00127BDF" w14:paraId="6A9479A4" w14:textId="0E76FE5F">
      <w:pPr>
        <w:pStyle w:val="ListParagraph"/>
        <w:numPr>
          <w:ilvl w:val="0"/>
          <w:numId w:val="1"/>
        </w:numPr>
        <w:rPr>
          <w:rFonts w:asciiTheme="majorHAnsi" w:hAnsiTheme="majorHAnsi" w:eastAsiaTheme="minorEastAsia" w:cstheme="majorHAnsi"/>
          <w:sz w:val="24"/>
          <w:szCs w:val="24"/>
        </w:rPr>
      </w:pPr>
      <w:r w:rsidRPr="00BC66DA">
        <w:rPr>
          <w:rFonts w:asciiTheme="majorHAnsi" w:hAnsiTheme="majorHAnsi" w:eastAsiaTheme="minorEastAsia" w:cstheme="majorHAnsi"/>
          <w:sz w:val="24"/>
          <w:szCs w:val="24"/>
        </w:rPr>
        <w:t xml:space="preserve">If no return communication has been received from </w:t>
      </w:r>
      <w:r>
        <w:rPr>
          <w:rFonts w:asciiTheme="majorHAnsi" w:hAnsiTheme="majorHAnsi" w:eastAsiaTheme="minorEastAsia" w:cstheme="majorHAnsi"/>
          <w:sz w:val="24"/>
          <w:szCs w:val="24"/>
        </w:rPr>
        <w:t>guardian</w:t>
      </w:r>
      <w:r w:rsidRPr="00BC66DA">
        <w:rPr>
          <w:rFonts w:asciiTheme="majorHAnsi" w:hAnsiTheme="majorHAnsi" w:eastAsiaTheme="minorEastAsia" w:cstheme="majorHAnsi"/>
          <w:sz w:val="24"/>
          <w:szCs w:val="24"/>
        </w:rPr>
        <w:t xml:space="preserve"> within 90 days, </w:t>
      </w:r>
      <w:r w:rsidR="00563C9C">
        <w:rPr>
          <w:rFonts w:asciiTheme="majorHAnsi" w:hAnsiTheme="majorHAnsi" w:eastAsiaTheme="minorEastAsia" w:cstheme="majorHAnsi"/>
          <w:sz w:val="24"/>
          <w:szCs w:val="24"/>
        </w:rPr>
        <w:t xml:space="preserve">family moves out of state, family moves to another LHD jurisdiction in Michigan or a follow-up BLL is less than BLRV prior to initiating case management, </w:t>
      </w:r>
      <w:r>
        <w:rPr>
          <w:rFonts w:asciiTheme="majorHAnsi" w:hAnsiTheme="majorHAnsi" w:eastAsiaTheme="minorEastAsia" w:cstheme="majorHAnsi"/>
          <w:sz w:val="24"/>
          <w:szCs w:val="24"/>
        </w:rPr>
        <w:t xml:space="preserve">notify the Nurse Case Manager assigned to case. [Only Nurses can close an eligible case.]  The Nurse assigned to the case, must review Community Health Worker documentation, and </w:t>
      </w:r>
      <w:r w:rsidRPr="00BC66DA">
        <w:rPr>
          <w:rFonts w:asciiTheme="majorHAnsi" w:hAnsiTheme="majorHAnsi" w:eastAsiaTheme="minorEastAsia" w:cstheme="majorHAnsi"/>
          <w:sz w:val="24"/>
          <w:szCs w:val="24"/>
        </w:rPr>
        <w:t xml:space="preserve">refer to Elevated Venous Blood Lead Level Case Closure </w:t>
      </w:r>
      <w:r>
        <w:rPr>
          <w:rFonts w:asciiTheme="majorHAnsi" w:hAnsiTheme="majorHAnsi" w:eastAsiaTheme="minorEastAsia" w:cstheme="majorHAnsi"/>
          <w:sz w:val="24"/>
          <w:szCs w:val="24"/>
        </w:rPr>
        <w:t xml:space="preserve">Procedure to determine if the case is eligible for closure. </w:t>
      </w:r>
    </w:p>
    <w:p w:rsidRPr="00127BDF" w:rsidR="00563C9C" w:rsidP="00563C9C" w:rsidRDefault="00563C9C" w14:paraId="2794E554" w14:textId="23E8C1DC">
      <w:pPr>
        <w:pStyle w:val="ListParagraph"/>
        <w:numPr>
          <w:ilvl w:val="0"/>
          <w:numId w:val="1"/>
        </w:numPr>
        <w:rPr>
          <w:rFonts w:asciiTheme="majorHAnsi" w:hAnsiTheme="majorHAnsi" w:eastAsiaTheme="minorEastAsia" w:cstheme="majorHAnsi"/>
          <w:sz w:val="24"/>
          <w:szCs w:val="24"/>
        </w:rPr>
      </w:pPr>
      <w:r w:rsidRPr="00BC66DA">
        <w:rPr>
          <w:rFonts w:asciiTheme="majorHAnsi" w:hAnsiTheme="majorHAnsi" w:eastAsiaTheme="minorEastAsia" w:cstheme="majorHAnsi"/>
          <w:sz w:val="24"/>
          <w:szCs w:val="24"/>
        </w:rPr>
        <w:t xml:space="preserve">If contact attempt was successful, </w:t>
      </w:r>
      <w:r w:rsidRPr="00BC66DA">
        <w:rPr>
          <w:rFonts w:asciiTheme="majorHAnsi" w:hAnsiTheme="majorHAnsi" w:cstheme="majorHAnsi"/>
          <w:sz w:val="24"/>
          <w:szCs w:val="24"/>
        </w:rPr>
        <w:t xml:space="preserve">provide education regarding, </w:t>
      </w:r>
      <w:r>
        <w:rPr>
          <w:rFonts w:asciiTheme="majorHAnsi" w:hAnsiTheme="majorHAnsi" w:cstheme="majorHAnsi"/>
          <w:sz w:val="24"/>
          <w:szCs w:val="24"/>
        </w:rPr>
        <w:t xml:space="preserve">potential </w:t>
      </w:r>
      <w:r w:rsidRPr="00BC66DA">
        <w:rPr>
          <w:rFonts w:asciiTheme="majorHAnsi" w:hAnsiTheme="majorHAnsi" w:cstheme="majorHAnsi"/>
          <w:sz w:val="24"/>
          <w:szCs w:val="24"/>
        </w:rPr>
        <w:t xml:space="preserve">sources of lead hazards, and daily lead safe practices; and facilitate enrollment </w:t>
      </w:r>
      <w:r>
        <w:rPr>
          <w:rFonts w:asciiTheme="majorHAnsi" w:hAnsiTheme="majorHAnsi" w:cstheme="majorHAnsi"/>
          <w:sz w:val="24"/>
          <w:szCs w:val="24"/>
        </w:rPr>
        <w:t>in abatement program.</w:t>
      </w:r>
      <w:r w:rsidRPr="00BC66DA">
        <w:rPr>
          <w:rFonts w:asciiTheme="majorHAnsi" w:hAnsiTheme="majorHAnsi" w:cstheme="majorHAnsi"/>
          <w:sz w:val="24"/>
          <w:szCs w:val="24"/>
        </w:rPr>
        <w:t xml:space="preserve"> </w:t>
      </w:r>
      <w:r>
        <w:rPr>
          <w:rFonts w:asciiTheme="majorHAnsi" w:hAnsiTheme="majorHAnsi" w:cstheme="majorHAnsi"/>
          <w:sz w:val="24"/>
          <w:szCs w:val="24"/>
        </w:rPr>
        <w:t xml:space="preserve">Schedule an initial home visit to complete the </w:t>
      </w:r>
      <w:hyperlink w:history="1" r:id="rId18">
        <w:r w:rsidR="003434AA">
          <w:rPr>
            <w:rStyle w:val="Hyperlink"/>
            <w:rFonts w:asciiTheme="majorHAnsi" w:hAnsiTheme="majorHAnsi" w:cstheme="majorHAnsi"/>
            <w:sz w:val="24"/>
            <w:szCs w:val="24"/>
          </w:rPr>
          <w:t xml:space="preserve">Community Health Worker Social </w:t>
        </w:r>
        <w:r w:rsidR="003434AA">
          <w:rPr>
            <w:rStyle w:val="Hyperlink"/>
            <w:rFonts w:asciiTheme="majorHAnsi" w:hAnsiTheme="majorHAnsi" w:cstheme="majorHAnsi"/>
            <w:sz w:val="24"/>
            <w:szCs w:val="24"/>
          </w:rPr>
          <w:lastRenderedPageBreak/>
          <w:t>Determinants of Health (SDOH) Assessment Form</w:t>
        </w:r>
      </w:hyperlink>
      <w:r w:rsidR="003434AA">
        <w:rPr>
          <w:rFonts w:asciiTheme="majorHAnsi" w:hAnsiTheme="majorHAnsi" w:cstheme="majorHAnsi"/>
          <w:sz w:val="24"/>
          <w:szCs w:val="24"/>
        </w:rPr>
        <w:t xml:space="preserve"> </w:t>
      </w:r>
      <w:r>
        <w:rPr>
          <w:rFonts w:asciiTheme="majorHAnsi" w:hAnsiTheme="majorHAnsi" w:cstheme="majorHAnsi"/>
          <w:sz w:val="24"/>
          <w:szCs w:val="24"/>
        </w:rPr>
        <w:t xml:space="preserve">and encourage enrollment in nurse case management.  [Joint home visits with CHW and </w:t>
      </w:r>
      <w:proofErr w:type="gramStart"/>
      <w:r>
        <w:rPr>
          <w:rFonts w:asciiTheme="majorHAnsi" w:hAnsiTheme="majorHAnsi" w:cstheme="majorHAnsi"/>
          <w:sz w:val="24"/>
          <w:szCs w:val="24"/>
        </w:rPr>
        <w:t>nurse</w:t>
      </w:r>
      <w:proofErr w:type="gramEnd"/>
      <w:r>
        <w:rPr>
          <w:rFonts w:asciiTheme="majorHAnsi" w:hAnsiTheme="majorHAnsi" w:cstheme="majorHAnsi"/>
          <w:sz w:val="24"/>
          <w:szCs w:val="24"/>
        </w:rPr>
        <w:t xml:space="preserve"> are acceptable.]</w:t>
      </w:r>
    </w:p>
    <w:p w:rsidRPr="00BC66DA" w:rsidR="00127BDF" w:rsidP="003203DC" w:rsidRDefault="00127BDF" w14:paraId="30B19CC0" w14:textId="77777777">
      <w:pPr>
        <w:pStyle w:val="ListParagraph"/>
        <w:rPr>
          <w:rFonts w:asciiTheme="majorHAnsi" w:hAnsiTheme="majorHAnsi" w:eastAsiaTheme="minorEastAsia" w:cstheme="majorHAnsi"/>
          <w:sz w:val="24"/>
          <w:szCs w:val="24"/>
        </w:rPr>
      </w:pPr>
    </w:p>
    <w:p w:rsidRPr="00E55A6D" w:rsidR="0045004A" w:rsidP="00E55A6D" w:rsidRDefault="00BC66DA" w14:paraId="6999FBD0" w14:textId="07AAA24B">
      <w:pPr>
        <w:pStyle w:val="ListParagraph"/>
        <w:numPr>
          <w:ilvl w:val="0"/>
          <w:numId w:val="1"/>
        </w:numPr>
        <w:rPr>
          <w:rFonts w:asciiTheme="majorHAnsi" w:hAnsiTheme="majorHAnsi" w:eastAsiaTheme="minorEastAsia" w:cstheme="majorHAnsi"/>
          <w:sz w:val="24"/>
          <w:szCs w:val="24"/>
        </w:rPr>
      </w:pPr>
      <w:r w:rsidRPr="00BC66DA">
        <w:rPr>
          <w:rFonts w:asciiTheme="majorHAnsi" w:hAnsiTheme="majorHAnsi" w:cstheme="majorHAnsi"/>
          <w:sz w:val="24"/>
          <w:szCs w:val="24"/>
        </w:rPr>
        <w:t xml:space="preserve">Once </w:t>
      </w:r>
      <w:proofErr w:type="spellStart"/>
      <w:r w:rsidR="00EE6E16">
        <w:rPr>
          <w:rFonts w:asciiTheme="majorHAnsi" w:hAnsiTheme="majorHAnsi" w:cstheme="majorHAnsi"/>
          <w:sz w:val="24"/>
          <w:szCs w:val="24"/>
        </w:rPr>
        <w:t>SDoH</w:t>
      </w:r>
      <w:proofErr w:type="spellEnd"/>
      <w:r w:rsidR="00EE6E16">
        <w:rPr>
          <w:rFonts w:asciiTheme="majorHAnsi" w:hAnsiTheme="majorHAnsi" w:cstheme="majorHAnsi"/>
          <w:sz w:val="24"/>
          <w:szCs w:val="24"/>
        </w:rPr>
        <w:t xml:space="preserve"> </w:t>
      </w:r>
      <w:r w:rsidR="00B01A79">
        <w:rPr>
          <w:rFonts w:asciiTheme="majorHAnsi" w:hAnsiTheme="majorHAnsi" w:cstheme="majorHAnsi"/>
          <w:sz w:val="24"/>
          <w:szCs w:val="24"/>
        </w:rPr>
        <w:t>Assessment Form</w:t>
      </w:r>
      <w:r w:rsidRPr="00BC66DA">
        <w:rPr>
          <w:rFonts w:asciiTheme="majorHAnsi" w:hAnsiTheme="majorHAnsi" w:cstheme="majorHAnsi"/>
          <w:sz w:val="24"/>
          <w:szCs w:val="24"/>
        </w:rPr>
        <w:t xml:space="preserve"> has been completed and documented, </w:t>
      </w:r>
      <w:r w:rsidR="008962E7">
        <w:rPr>
          <w:rFonts w:asciiTheme="majorHAnsi" w:hAnsiTheme="majorHAnsi" w:cstheme="majorHAnsi"/>
          <w:sz w:val="24"/>
          <w:szCs w:val="24"/>
        </w:rPr>
        <w:t xml:space="preserve">notify the </w:t>
      </w:r>
      <w:r w:rsidR="000B5B06">
        <w:rPr>
          <w:rFonts w:asciiTheme="majorHAnsi" w:hAnsiTheme="majorHAnsi" w:cstheme="majorHAnsi"/>
          <w:sz w:val="24"/>
          <w:szCs w:val="24"/>
        </w:rPr>
        <w:t>N</w:t>
      </w:r>
      <w:r w:rsidR="008962E7">
        <w:rPr>
          <w:rFonts w:asciiTheme="majorHAnsi" w:hAnsiTheme="majorHAnsi" w:cstheme="majorHAnsi"/>
          <w:sz w:val="24"/>
          <w:szCs w:val="24"/>
        </w:rPr>
        <w:t xml:space="preserve">urse </w:t>
      </w:r>
      <w:r w:rsidR="000B5B06">
        <w:rPr>
          <w:rFonts w:asciiTheme="majorHAnsi" w:hAnsiTheme="majorHAnsi" w:cstheme="majorHAnsi"/>
          <w:sz w:val="24"/>
          <w:szCs w:val="24"/>
        </w:rPr>
        <w:t>C</w:t>
      </w:r>
      <w:r w:rsidR="008962E7">
        <w:rPr>
          <w:rFonts w:asciiTheme="majorHAnsi" w:hAnsiTheme="majorHAnsi" w:cstheme="majorHAnsi"/>
          <w:sz w:val="24"/>
          <w:szCs w:val="24"/>
        </w:rPr>
        <w:t xml:space="preserve">ase </w:t>
      </w:r>
      <w:r w:rsidR="000B5B06">
        <w:rPr>
          <w:rFonts w:asciiTheme="majorHAnsi" w:hAnsiTheme="majorHAnsi" w:cstheme="majorHAnsi"/>
          <w:sz w:val="24"/>
          <w:szCs w:val="24"/>
        </w:rPr>
        <w:t>M</w:t>
      </w:r>
      <w:r w:rsidR="008962E7">
        <w:rPr>
          <w:rFonts w:asciiTheme="majorHAnsi" w:hAnsiTheme="majorHAnsi" w:cstheme="majorHAnsi"/>
          <w:sz w:val="24"/>
          <w:szCs w:val="24"/>
        </w:rPr>
        <w:t>anager</w:t>
      </w:r>
      <w:r w:rsidR="00F04306">
        <w:rPr>
          <w:rFonts w:asciiTheme="majorHAnsi" w:hAnsiTheme="majorHAnsi" w:cstheme="majorHAnsi"/>
          <w:sz w:val="24"/>
          <w:szCs w:val="24"/>
        </w:rPr>
        <w:t xml:space="preserve">. </w:t>
      </w:r>
      <w:r w:rsidRPr="00BC66DA">
        <w:rPr>
          <w:rFonts w:asciiTheme="majorHAnsi" w:hAnsiTheme="majorHAnsi" w:cstheme="majorHAnsi"/>
          <w:sz w:val="24"/>
          <w:szCs w:val="24"/>
        </w:rPr>
        <w:t xml:space="preserve"> </w:t>
      </w:r>
      <w:r w:rsidR="008D45E2">
        <w:rPr>
          <w:rFonts w:asciiTheme="majorHAnsi" w:hAnsiTheme="majorHAnsi" w:cstheme="majorHAnsi"/>
          <w:sz w:val="24"/>
          <w:szCs w:val="24"/>
        </w:rPr>
        <w:t>D</w:t>
      </w:r>
      <w:r w:rsidRPr="00BC66DA">
        <w:rPr>
          <w:rFonts w:asciiTheme="majorHAnsi" w:hAnsiTheme="majorHAnsi" w:cstheme="majorHAnsi"/>
          <w:sz w:val="24"/>
          <w:szCs w:val="24"/>
        </w:rPr>
        <w:t xml:space="preserve">ocument subsequent home visits </w:t>
      </w:r>
      <w:r w:rsidR="00893193">
        <w:rPr>
          <w:rFonts w:asciiTheme="majorHAnsi" w:hAnsiTheme="majorHAnsi" w:cstheme="majorHAnsi"/>
          <w:sz w:val="24"/>
          <w:szCs w:val="24"/>
        </w:rPr>
        <w:t xml:space="preserve">using the </w:t>
      </w:r>
      <w:r w:rsidR="005E28DA">
        <w:rPr>
          <w:rFonts w:asciiTheme="majorHAnsi" w:hAnsiTheme="majorHAnsi" w:cstheme="majorHAnsi"/>
          <w:sz w:val="24"/>
          <w:szCs w:val="24"/>
        </w:rPr>
        <w:t>follow up home visit event tab and the referral event</w:t>
      </w:r>
      <w:r w:rsidR="00924DCE">
        <w:rPr>
          <w:rFonts w:asciiTheme="majorHAnsi" w:hAnsiTheme="majorHAnsi" w:cstheme="majorHAnsi"/>
          <w:sz w:val="24"/>
          <w:szCs w:val="24"/>
        </w:rPr>
        <w:t xml:space="preserve"> tab </w:t>
      </w:r>
      <w:r w:rsidR="00924DCE">
        <w:rPr>
          <w:rFonts w:asciiTheme="majorHAnsi" w:hAnsiTheme="majorHAnsi" w:cstheme="majorHAnsi"/>
          <w:sz w:val="24"/>
          <w:szCs w:val="24"/>
        </w:rPr>
        <w:t>in MICLEAR</w:t>
      </w:r>
      <w:r w:rsidR="00F14C3A">
        <w:rPr>
          <w:rFonts w:asciiTheme="majorHAnsi" w:hAnsiTheme="majorHAnsi" w:cstheme="majorHAnsi"/>
          <w:sz w:val="24"/>
          <w:szCs w:val="24"/>
        </w:rPr>
        <w:t>.</w:t>
      </w:r>
      <w:r w:rsidR="00167149">
        <w:rPr>
          <w:rFonts w:asciiTheme="majorHAnsi" w:hAnsiTheme="majorHAnsi" w:cstheme="majorHAnsi"/>
          <w:sz w:val="24"/>
          <w:szCs w:val="24"/>
        </w:rPr>
        <w:t xml:space="preserve"> </w:t>
      </w:r>
      <w:r w:rsidRPr="00167149">
        <w:rPr>
          <w:rFonts w:asciiTheme="majorHAnsi" w:hAnsiTheme="majorHAnsi" w:cstheme="majorHAnsi"/>
          <w:sz w:val="24"/>
          <w:szCs w:val="24"/>
        </w:rPr>
        <w:t xml:space="preserve">Refer to </w:t>
      </w:r>
      <w:r w:rsidR="0045004A">
        <w:rPr>
          <w:rFonts w:asciiTheme="majorHAnsi" w:hAnsiTheme="majorHAnsi" w:cstheme="majorHAnsi"/>
          <w:sz w:val="24"/>
          <w:szCs w:val="24"/>
        </w:rPr>
        <w:t>Documentation Standards Procedure for documentation and reimbursement requirements</w:t>
      </w:r>
      <w:r w:rsidRPr="00167149">
        <w:rPr>
          <w:rFonts w:asciiTheme="majorHAnsi" w:hAnsiTheme="majorHAnsi" w:cstheme="majorHAnsi"/>
          <w:sz w:val="24"/>
          <w:szCs w:val="24"/>
        </w:rPr>
        <w:t>.</w:t>
      </w:r>
    </w:p>
    <w:p w:rsidRPr="0045004A" w:rsidR="00BC66DA" w:rsidP="0045004A" w:rsidRDefault="0045004A" w14:paraId="5C288F38" w14:textId="2999F597">
      <w:pPr>
        <w:pStyle w:val="ListParagraph"/>
        <w:numPr>
          <w:ilvl w:val="0"/>
          <w:numId w:val="1"/>
        </w:numPr>
        <w:rPr>
          <w:rFonts w:asciiTheme="majorHAnsi" w:hAnsiTheme="majorHAnsi" w:eastAsiaTheme="minorEastAsia" w:cstheme="majorHAnsi"/>
          <w:sz w:val="24"/>
          <w:szCs w:val="24"/>
        </w:rPr>
      </w:pPr>
      <w:r>
        <w:rPr>
          <w:rFonts w:asciiTheme="majorHAnsi" w:hAnsiTheme="majorHAnsi" w:cstheme="majorHAnsi"/>
          <w:sz w:val="24"/>
          <w:szCs w:val="24"/>
        </w:rPr>
        <w:t xml:space="preserve">Once all steps have been completed, </w:t>
      </w:r>
      <w:r w:rsidR="00FC38B5">
        <w:rPr>
          <w:rFonts w:asciiTheme="majorHAnsi" w:hAnsiTheme="majorHAnsi" w:cstheme="majorHAnsi"/>
          <w:sz w:val="24"/>
          <w:szCs w:val="24"/>
        </w:rPr>
        <w:t xml:space="preserve">notify </w:t>
      </w:r>
      <w:proofErr w:type="gramStart"/>
      <w:r w:rsidR="00FC38B5">
        <w:rPr>
          <w:rFonts w:asciiTheme="majorHAnsi" w:hAnsiTheme="majorHAnsi" w:cstheme="majorHAnsi"/>
          <w:sz w:val="24"/>
          <w:szCs w:val="24"/>
        </w:rPr>
        <w:t>nurse</w:t>
      </w:r>
      <w:proofErr w:type="gramEnd"/>
      <w:r w:rsidR="00FC38B5">
        <w:rPr>
          <w:rFonts w:asciiTheme="majorHAnsi" w:hAnsiTheme="majorHAnsi" w:cstheme="majorHAnsi"/>
          <w:sz w:val="24"/>
          <w:szCs w:val="24"/>
        </w:rPr>
        <w:t xml:space="preserve"> case manager.  Additional CHW visits may be complete</w:t>
      </w:r>
      <w:r w:rsidR="00C9117B">
        <w:rPr>
          <w:rFonts w:asciiTheme="majorHAnsi" w:hAnsiTheme="majorHAnsi" w:cstheme="majorHAnsi"/>
          <w:sz w:val="24"/>
          <w:szCs w:val="24"/>
        </w:rPr>
        <w:t>d as needed</w:t>
      </w:r>
      <w:r w:rsidR="0017330F">
        <w:rPr>
          <w:rFonts w:asciiTheme="majorHAnsi" w:hAnsiTheme="majorHAnsi" w:cstheme="majorHAnsi"/>
          <w:sz w:val="24"/>
          <w:szCs w:val="24"/>
        </w:rPr>
        <w:t xml:space="preserve">, however, only two visits per household will be reimbursed. </w:t>
      </w:r>
      <w:r w:rsidR="00C9117B">
        <w:rPr>
          <w:rFonts w:asciiTheme="majorHAnsi" w:hAnsiTheme="majorHAnsi" w:cstheme="majorHAnsi"/>
          <w:sz w:val="24"/>
          <w:szCs w:val="24"/>
        </w:rPr>
        <w:t xml:space="preserve">  </w:t>
      </w:r>
      <w:r w:rsidRPr="0045004A" w:rsidR="00BC66DA">
        <w:rPr>
          <w:rFonts w:asciiTheme="majorHAnsi" w:hAnsiTheme="majorHAnsi" w:cstheme="majorHAnsi"/>
          <w:sz w:val="24"/>
          <w:szCs w:val="24"/>
        </w:rPr>
        <w:t xml:space="preserve"> </w:t>
      </w:r>
    </w:p>
    <w:p w:rsidRPr="00BC66DA" w:rsidR="00BC66DA" w:rsidP="00BC66DA" w:rsidRDefault="00BC66DA" w14:paraId="377D3768" w14:textId="16E7F82D">
      <w:pPr>
        <w:pStyle w:val="Heading2"/>
        <w:rPr>
          <w:rFonts w:eastAsiaTheme="minorEastAsia" w:cstheme="majorHAnsi"/>
          <w:sz w:val="24"/>
          <w:szCs w:val="24"/>
        </w:rPr>
      </w:pPr>
      <w:r>
        <w:t>Definitions</w:t>
      </w:r>
    </w:p>
    <w:p w:rsidRPr="00BC66DA" w:rsidR="00BC66DA" w:rsidP="00BC66DA" w:rsidRDefault="00BC66DA" w14:paraId="59C36333" w14:textId="4EA1D241">
      <w:pPr>
        <w:rPr>
          <w:rFonts w:asciiTheme="majorHAnsi" w:hAnsiTheme="majorHAnsi" w:cstheme="majorHAnsi"/>
          <w:sz w:val="24"/>
          <w:szCs w:val="24"/>
        </w:rPr>
      </w:pPr>
      <w:r w:rsidRPr="00BC66DA">
        <w:rPr>
          <w:rFonts w:asciiTheme="majorHAnsi" w:hAnsiTheme="majorHAnsi" w:cstheme="majorHAnsi"/>
          <w:b/>
          <w:bCs/>
          <w:sz w:val="24"/>
          <w:szCs w:val="24"/>
        </w:rPr>
        <w:t>Case Management Services:</w:t>
      </w:r>
      <w:r w:rsidRPr="00BC66DA">
        <w:rPr>
          <w:rFonts w:asciiTheme="majorHAnsi" w:hAnsiTheme="majorHAnsi" w:cstheme="majorHAnsi"/>
          <w:sz w:val="24"/>
          <w:szCs w:val="24"/>
        </w:rPr>
        <w:t xml:space="preserve"> Reimbursable and non-reimbursable services </w:t>
      </w:r>
      <w:r w:rsidR="00DB5931">
        <w:rPr>
          <w:rFonts w:asciiTheme="majorHAnsi" w:hAnsiTheme="majorHAnsi" w:cstheme="majorHAnsi"/>
          <w:sz w:val="24"/>
          <w:szCs w:val="24"/>
        </w:rPr>
        <w:t xml:space="preserve">are </w:t>
      </w:r>
      <w:r w:rsidRPr="00BC66DA">
        <w:rPr>
          <w:rFonts w:asciiTheme="majorHAnsi" w:hAnsiTheme="majorHAnsi" w:cstheme="majorHAnsi"/>
          <w:sz w:val="24"/>
          <w:szCs w:val="24"/>
        </w:rPr>
        <w:t xml:space="preserve">provided by the Local Public Health Nurse and Community Health Worker. These activities include, but are not limited to, in-person, virtual, or phone home visits; education; communication with family, providers, health plans, and community service organizations; care coordination; physical and social assessment; and referrals. The goals of these activities are outlined in the Plan of Care and are achieved through individualized care addressing physical and social health while prioritizing safe environments for primary and secondary housing. </w:t>
      </w:r>
    </w:p>
    <w:p w:rsidRPr="00BC66DA" w:rsidR="00BC66DA" w:rsidP="00BC66DA" w:rsidRDefault="00BC66DA" w14:paraId="37C1943D" w14:textId="15E6F4BB">
      <w:pPr>
        <w:rPr>
          <w:rFonts w:asciiTheme="majorHAnsi" w:hAnsiTheme="majorHAnsi" w:cstheme="majorHAnsi"/>
          <w:sz w:val="24"/>
          <w:szCs w:val="24"/>
        </w:rPr>
      </w:pPr>
      <w:r w:rsidRPr="00BC66DA">
        <w:rPr>
          <w:rFonts w:asciiTheme="majorHAnsi" w:hAnsiTheme="majorHAnsi" w:cstheme="majorHAnsi"/>
          <w:b/>
          <w:bCs/>
          <w:sz w:val="24"/>
          <w:szCs w:val="24"/>
        </w:rPr>
        <w:t>Eligible Case:</w:t>
      </w:r>
      <w:r w:rsidRPr="00BC66DA">
        <w:rPr>
          <w:rFonts w:asciiTheme="majorHAnsi" w:hAnsiTheme="majorHAnsi" w:cstheme="majorHAnsi"/>
          <w:sz w:val="24"/>
          <w:szCs w:val="24"/>
        </w:rPr>
        <w:t xml:space="preserve"> A child under six</w:t>
      </w:r>
      <w:r w:rsidR="00F512C6">
        <w:rPr>
          <w:rFonts w:asciiTheme="majorHAnsi" w:hAnsiTheme="majorHAnsi" w:cstheme="majorHAnsi"/>
          <w:sz w:val="24"/>
          <w:szCs w:val="24"/>
        </w:rPr>
        <w:t>teen</w:t>
      </w:r>
      <w:r w:rsidRPr="00BC66DA">
        <w:rPr>
          <w:rFonts w:asciiTheme="majorHAnsi" w:hAnsiTheme="majorHAnsi" w:cstheme="majorHAnsi"/>
          <w:sz w:val="24"/>
          <w:szCs w:val="24"/>
        </w:rPr>
        <w:t xml:space="preserve"> years of age residing in Michigan with a venous blood lead level greater than or equal to the blood lead reference value whose caregiver has not accepted or declined case management services.  </w:t>
      </w:r>
    </w:p>
    <w:p w:rsidRPr="00BC66DA" w:rsidR="00BC66DA" w:rsidP="00BC66DA" w:rsidRDefault="00BC66DA" w14:paraId="1860B38A" w14:textId="77777777">
      <w:pPr>
        <w:rPr>
          <w:rFonts w:asciiTheme="majorHAnsi" w:hAnsiTheme="majorHAnsi" w:cstheme="majorHAnsi"/>
          <w:sz w:val="24"/>
          <w:szCs w:val="24"/>
        </w:rPr>
      </w:pPr>
      <w:r w:rsidRPr="00BC66DA">
        <w:rPr>
          <w:rFonts w:asciiTheme="majorHAnsi" w:hAnsiTheme="majorHAnsi" w:cstheme="majorHAnsi"/>
          <w:b/>
          <w:bCs/>
          <w:sz w:val="24"/>
          <w:szCs w:val="24"/>
        </w:rPr>
        <w:t>Managed Case:</w:t>
      </w:r>
      <w:r w:rsidRPr="00BC66DA">
        <w:rPr>
          <w:rFonts w:asciiTheme="majorHAnsi" w:hAnsiTheme="majorHAnsi" w:cstheme="majorHAnsi"/>
          <w:sz w:val="24"/>
          <w:szCs w:val="24"/>
        </w:rPr>
        <w:t xml:space="preserve"> Eligible child whose caregiver has accepted and is receiving case management services.</w:t>
      </w:r>
    </w:p>
    <w:p w:rsidR="00BC66DA" w:rsidP="00BC66DA" w:rsidRDefault="00BC66DA" w14:paraId="50D484A2" w14:textId="77777777">
      <w:pPr>
        <w:pStyle w:val="Heading2"/>
      </w:pPr>
      <w:r>
        <w:t>Contact</w:t>
      </w:r>
    </w:p>
    <w:p w:rsidRPr="00BC66DA" w:rsidR="00BC66DA" w:rsidP="00BC66DA" w:rsidRDefault="00BC66DA" w14:paraId="03F109FB" w14:textId="77777777">
      <w:pPr>
        <w:rPr>
          <w:rFonts w:asciiTheme="majorHAnsi" w:hAnsiTheme="majorHAnsi" w:cstheme="majorHAnsi"/>
          <w:sz w:val="24"/>
          <w:szCs w:val="24"/>
        </w:rPr>
      </w:pPr>
      <w:r w:rsidRPr="00BC66DA">
        <w:rPr>
          <w:rFonts w:asciiTheme="majorHAnsi" w:hAnsiTheme="majorHAnsi" w:cstheme="majorHAnsi"/>
          <w:sz w:val="24"/>
          <w:szCs w:val="24"/>
        </w:rPr>
        <w:t xml:space="preserve">For additional information on this procedure, contact MDHHS CLPPP at </w:t>
      </w:r>
      <w:hyperlink w:history="1" r:id="rId19">
        <w:r w:rsidRPr="00BC66DA">
          <w:rPr>
            <w:rStyle w:val="Hyperlink"/>
            <w:rFonts w:asciiTheme="majorHAnsi" w:hAnsiTheme="majorHAnsi" w:cstheme="majorHAnsi"/>
            <w:sz w:val="24"/>
            <w:szCs w:val="24"/>
          </w:rPr>
          <w:t>MDHHS-CLPPP@michigan.gov</w:t>
        </w:r>
      </w:hyperlink>
      <w:r w:rsidRPr="00BC66DA">
        <w:rPr>
          <w:rFonts w:asciiTheme="majorHAnsi" w:hAnsiTheme="majorHAnsi" w:cstheme="majorHAnsi"/>
          <w:sz w:val="24"/>
          <w:szCs w:val="24"/>
        </w:rPr>
        <w:t xml:space="preserve"> or (517)335-8885.</w:t>
      </w:r>
    </w:p>
    <w:p w:rsidRPr="00BC66DA" w:rsidR="00BC66DA" w:rsidP="00BC66DA" w:rsidRDefault="00BC66DA" w14:paraId="70C9323F" w14:textId="56F39419">
      <w:pPr>
        <w:pStyle w:val="Heading2"/>
        <w:rPr>
          <w:rFonts w:eastAsiaTheme="minorEastAsia"/>
        </w:rPr>
      </w:pPr>
    </w:p>
    <w:sectPr w:rsidRPr="00BC66DA" w:rsidR="00BC66DA">
      <w:footerReference w:type="default" r:id="rId20"/>
      <w:pgSz w:w="12240" w:h="15840" w:orient="portrait"/>
      <w:pgMar w:top="1440" w:right="1440" w:bottom="1440" w:left="1440" w:header="720" w:footer="720" w:gutter="0"/>
      <w:cols w:space="720"/>
      <w:docGrid w:linePitch="360"/>
      <w:headerReference w:type="default" r:id="Re2f79eaa9446487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D2F" w:rsidP="00F95860" w:rsidRDefault="00836D2F" w14:paraId="68C4C9A1" w14:textId="77777777">
      <w:pPr>
        <w:spacing w:after="0" w:line="240" w:lineRule="auto"/>
      </w:pPr>
      <w:r>
        <w:separator/>
      </w:r>
    </w:p>
  </w:endnote>
  <w:endnote w:type="continuationSeparator" w:id="0">
    <w:p w:rsidR="00836D2F" w:rsidP="00F95860" w:rsidRDefault="00836D2F" w14:paraId="789073E8" w14:textId="77777777">
      <w:pPr>
        <w:spacing w:after="0" w:line="240" w:lineRule="auto"/>
      </w:pPr>
      <w:r>
        <w:continuationSeparator/>
      </w:r>
    </w:p>
  </w:endnote>
  <w:endnote w:type="continuationNotice" w:id="1">
    <w:p w:rsidR="00836D2F" w:rsidRDefault="00836D2F" w14:paraId="2BE33C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860" w:rsidP="20043C72" w:rsidRDefault="00F95860" w14:paraId="4CCE34B6" w14:textId="35F85DA2">
    <w:pPr>
      <w:pStyle w:val="Footer"/>
      <w:tabs>
        <w:tab w:val="center" w:leader="none" w:pos="4680"/>
        <w:tab w:val="right" w:leader="none" w:pos="9360"/>
      </w:tabs>
      <w:spacing w:after="0" w:line="240" w:lineRule="auto"/>
      <w:rPr>
        <w:noProof w:val="0"/>
        <w:lang w:val="en-US"/>
      </w:rPr>
    </w:pPr>
    <w:r w:rsidRPr="20043C72" w:rsidR="20043C72">
      <w:rPr>
        <w:rFonts w:ascii="Calibri" w:hAnsi="Calibri" w:eastAsia="Calibri" w:cs="Calibri"/>
        <w:b w:val="1"/>
        <w:bCs w:val="1"/>
        <w:i w:val="0"/>
        <w:iCs w:val="0"/>
        <w:caps w:val="0"/>
        <w:smallCaps w:val="0"/>
        <w:noProof w:val="0"/>
        <w:color w:val="000000" w:themeColor="text1" w:themeTint="FF" w:themeShade="FF"/>
        <w:sz w:val="22"/>
        <w:szCs w:val="22"/>
        <w:lang w:val="en-US"/>
      </w:rPr>
      <w:t>(NEW 08.25) PILOT</w:t>
    </w:r>
  </w:p>
  <w:p w:rsidR="00F95860" w:rsidRDefault="00F95860" w14:paraId="5EBAB8A1" w14:textId="56ECA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D2F" w:rsidP="00F95860" w:rsidRDefault="00836D2F" w14:paraId="66E7883F" w14:textId="77777777">
      <w:pPr>
        <w:spacing w:after="0" w:line="240" w:lineRule="auto"/>
      </w:pPr>
      <w:r>
        <w:separator/>
      </w:r>
    </w:p>
  </w:footnote>
  <w:footnote w:type="continuationSeparator" w:id="0">
    <w:p w:rsidR="00836D2F" w:rsidP="00F95860" w:rsidRDefault="00836D2F" w14:paraId="76C54057" w14:textId="77777777">
      <w:pPr>
        <w:spacing w:after="0" w:line="240" w:lineRule="auto"/>
      </w:pPr>
      <w:r>
        <w:continuationSeparator/>
      </w:r>
    </w:p>
  </w:footnote>
  <w:footnote w:type="continuationNotice" w:id="1">
    <w:p w:rsidR="00836D2F" w:rsidRDefault="00836D2F" w14:paraId="700B337B"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043C72" w:rsidTr="20043C72" w14:paraId="6672521C">
      <w:trPr>
        <w:trHeight w:val="300"/>
      </w:trPr>
      <w:tc>
        <w:tcPr>
          <w:tcW w:w="3120" w:type="dxa"/>
          <w:tcMar/>
        </w:tcPr>
        <w:p w:rsidR="20043C72" w:rsidP="20043C72" w:rsidRDefault="20043C72" w14:paraId="6C372402" w14:textId="099B6508">
          <w:pPr>
            <w:pStyle w:val="Header"/>
            <w:bidi w:val="0"/>
            <w:ind w:left="-115"/>
            <w:jc w:val="left"/>
          </w:pPr>
        </w:p>
      </w:tc>
      <w:tc>
        <w:tcPr>
          <w:tcW w:w="3120" w:type="dxa"/>
          <w:tcMar/>
        </w:tcPr>
        <w:p w:rsidR="20043C72" w:rsidP="20043C72" w:rsidRDefault="20043C72" w14:paraId="35593AE0" w14:textId="240F7585">
          <w:pPr>
            <w:pStyle w:val="Header"/>
            <w:bidi w:val="0"/>
            <w:jc w:val="center"/>
          </w:pPr>
        </w:p>
      </w:tc>
      <w:tc>
        <w:tcPr>
          <w:tcW w:w="3120" w:type="dxa"/>
          <w:tcMar/>
        </w:tcPr>
        <w:p w:rsidR="20043C72" w:rsidP="20043C72" w:rsidRDefault="20043C72" w14:paraId="3A6D3EEE" w14:textId="0B5567B1">
          <w:pPr>
            <w:pStyle w:val="Header"/>
            <w:bidi w:val="0"/>
            <w:ind w:right="-115"/>
            <w:jc w:val="right"/>
          </w:pPr>
        </w:p>
      </w:tc>
    </w:tr>
  </w:tbl>
  <w:p w:rsidR="20043C72" w:rsidP="20043C72" w:rsidRDefault="20043C72" w14:paraId="1730E46D" w14:textId="312B7B1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F66A6"/>
    <w:multiLevelType w:val="hybridMultilevel"/>
    <w:tmpl w:val="63A8A81A"/>
    <w:lvl w:ilvl="0" w:tplc="449EBB0C">
      <w:start w:val="1"/>
      <w:numFmt w:val="decimal"/>
      <w:lvlText w:val="%1."/>
      <w:lvlJc w:val="left"/>
      <w:pPr>
        <w:ind w:left="720" w:hanging="360"/>
      </w:pPr>
      <w:rPr>
        <w:rFonts w:hint="default"/>
      </w:rPr>
    </w:lvl>
    <w:lvl w:ilvl="1" w:tplc="8D849A7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87C8D"/>
    <w:multiLevelType w:val="hybridMultilevel"/>
    <w:tmpl w:val="200A7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710D8"/>
    <w:multiLevelType w:val="hybridMultilevel"/>
    <w:tmpl w:val="BE381F2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0E3353"/>
    <w:multiLevelType w:val="hybridMultilevel"/>
    <w:tmpl w:val="4CDC123A"/>
    <w:lvl w:ilvl="0" w:tplc="60B0D832">
      <w:start w:val="1"/>
      <w:numFmt w:val="decimal"/>
      <w:lvlText w:val="%1."/>
      <w:lvlJc w:val="left"/>
      <w:pPr>
        <w:ind w:left="2880" w:hanging="360"/>
      </w:pPr>
      <w:rPr>
        <w:rFonts w:hint="default" w:ascii="Arial" w:hAnsi="Arial" w:cs="Arial"/>
        <w:sz w:val="24"/>
        <w:szCs w:val="24"/>
      </w:rPr>
    </w:lvl>
    <w:lvl w:ilvl="1" w:tplc="96500B32">
      <w:start w:val="1"/>
      <w:numFmt w:val="lowerLetter"/>
      <w:lvlText w:val="%2."/>
      <w:lvlJc w:val="left"/>
      <w:pPr>
        <w:ind w:left="3600" w:hanging="360"/>
      </w:pPr>
      <w:rPr>
        <w:b w:val="0"/>
        <w:bCs w:val="0"/>
      </w:rPr>
    </w:lvl>
    <w:lvl w:ilvl="2" w:tplc="1A6E5E58">
      <w:start w:val="1"/>
      <w:numFmt w:val="lowerRoman"/>
      <w:lvlText w:val="%3."/>
      <w:lvlJc w:val="right"/>
      <w:pPr>
        <w:ind w:left="4320" w:hanging="180"/>
      </w:pPr>
    </w:lvl>
    <w:lvl w:ilvl="3" w:tplc="C28AE19A">
      <w:start w:val="1"/>
      <w:numFmt w:val="decimal"/>
      <w:lvlText w:val="%4."/>
      <w:lvlJc w:val="left"/>
      <w:pPr>
        <w:ind w:left="5040" w:hanging="360"/>
      </w:pPr>
    </w:lvl>
    <w:lvl w:ilvl="4" w:tplc="4B94C626">
      <w:start w:val="1"/>
      <w:numFmt w:val="lowerLetter"/>
      <w:lvlText w:val="%5."/>
      <w:lvlJc w:val="left"/>
      <w:pPr>
        <w:ind w:left="5760" w:hanging="360"/>
      </w:pPr>
    </w:lvl>
    <w:lvl w:ilvl="5" w:tplc="23AE3B42">
      <w:start w:val="1"/>
      <w:numFmt w:val="lowerRoman"/>
      <w:lvlText w:val="%6."/>
      <w:lvlJc w:val="right"/>
      <w:pPr>
        <w:ind w:left="6480" w:hanging="180"/>
      </w:pPr>
    </w:lvl>
    <w:lvl w:ilvl="6" w:tplc="DFA42EF2">
      <w:start w:val="1"/>
      <w:numFmt w:val="decimal"/>
      <w:lvlText w:val="%7."/>
      <w:lvlJc w:val="left"/>
      <w:pPr>
        <w:ind w:left="7200" w:hanging="360"/>
      </w:pPr>
    </w:lvl>
    <w:lvl w:ilvl="7" w:tplc="4322D48C">
      <w:start w:val="1"/>
      <w:numFmt w:val="lowerLetter"/>
      <w:lvlText w:val="%8."/>
      <w:lvlJc w:val="left"/>
      <w:pPr>
        <w:ind w:left="7920" w:hanging="360"/>
      </w:pPr>
    </w:lvl>
    <w:lvl w:ilvl="8" w:tplc="AB52DA60">
      <w:start w:val="1"/>
      <w:numFmt w:val="lowerRoman"/>
      <w:lvlText w:val="%9."/>
      <w:lvlJc w:val="right"/>
      <w:pPr>
        <w:ind w:left="8640" w:hanging="180"/>
      </w:pPr>
    </w:lvl>
  </w:abstractNum>
  <w:num w:numId="1" w16cid:durableId="2146502640">
    <w:abstractNumId w:val="0"/>
  </w:num>
  <w:num w:numId="2" w16cid:durableId="1688746771">
    <w:abstractNumId w:val="3"/>
  </w:num>
  <w:num w:numId="3" w16cid:durableId="548228599">
    <w:abstractNumId w:val="1"/>
  </w:num>
  <w:num w:numId="4" w16cid:durableId="91875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DA"/>
    <w:rsid w:val="00013FA7"/>
    <w:rsid w:val="0003414D"/>
    <w:rsid w:val="00034DFE"/>
    <w:rsid w:val="000670E7"/>
    <w:rsid w:val="00070D35"/>
    <w:rsid w:val="0008354A"/>
    <w:rsid w:val="00094CD0"/>
    <w:rsid w:val="000B5B06"/>
    <w:rsid w:val="000C303D"/>
    <w:rsid w:val="000C7B74"/>
    <w:rsid w:val="000D738B"/>
    <w:rsid w:val="000E3F26"/>
    <w:rsid w:val="000F149F"/>
    <w:rsid w:val="000F1DC7"/>
    <w:rsid w:val="000F4329"/>
    <w:rsid w:val="000F6270"/>
    <w:rsid w:val="00127BDF"/>
    <w:rsid w:val="00133189"/>
    <w:rsid w:val="00134C71"/>
    <w:rsid w:val="00150494"/>
    <w:rsid w:val="00157E77"/>
    <w:rsid w:val="001603CF"/>
    <w:rsid w:val="00167149"/>
    <w:rsid w:val="00170B48"/>
    <w:rsid w:val="0017330F"/>
    <w:rsid w:val="00186192"/>
    <w:rsid w:val="00192DAA"/>
    <w:rsid w:val="00195E52"/>
    <w:rsid w:val="001A06D2"/>
    <w:rsid w:val="001C795F"/>
    <w:rsid w:val="001D7B7D"/>
    <w:rsid w:val="0020087E"/>
    <w:rsid w:val="00203269"/>
    <w:rsid w:val="002104F2"/>
    <w:rsid w:val="002156AF"/>
    <w:rsid w:val="002401BD"/>
    <w:rsid w:val="0024410C"/>
    <w:rsid w:val="00244AA4"/>
    <w:rsid w:val="00246B8B"/>
    <w:rsid w:val="002474C2"/>
    <w:rsid w:val="00277562"/>
    <w:rsid w:val="002921E1"/>
    <w:rsid w:val="002B3902"/>
    <w:rsid w:val="002D3D54"/>
    <w:rsid w:val="002D76E6"/>
    <w:rsid w:val="002E02D2"/>
    <w:rsid w:val="002F4A81"/>
    <w:rsid w:val="002F7372"/>
    <w:rsid w:val="00301F4E"/>
    <w:rsid w:val="003058C0"/>
    <w:rsid w:val="003203DC"/>
    <w:rsid w:val="00330285"/>
    <w:rsid w:val="003434AA"/>
    <w:rsid w:val="0034690D"/>
    <w:rsid w:val="00354ED1"/>
    <w:rsid w:val="0036259F"/>
    <w:rsid w:val="00364446"/>
    <w:rsid w:val="00371BA3"/>
    <w:rsid w:val="003B1486"/>
    <w:rsid w:val="003B2688"/>
    <w:rsid w:val="003B4374"/>
    <w:rsid w:val="003C5933"/>
    <w:rsid w:val="003E4259"/>
    <w:rsid w:val="003E5E1A"/>
    <w:rsid w:val="00410007"/>
    <w:rsid w:val="004111F5"/>
    <w:rsid w:val="0041355A"/>
    <w:rsid w:val="0045004A"/>
    <w:rsid w:val="004505B8"/>
    <w:rsid w:val="004521DA"/>
    <w:rsid w:val="004719A7"/>
    <w:rsid w:val="00472A23"/>
    <w:rsid w:val="004731C1"/>
    <w:rsid w:val="00474637"/>
    <w:rsid w:val="00491531"/>
    <w:rsid w:val="004A491E"/>
    <w:rsid w:val="004B458C"/>
    <w:rsid w:val="004C6365"/>
    <w:rsid w:val="004D2D61"/>
    <w:rsid w:val="004F3BAC"/>
    <w:rsid w:val="0050350B"/>
    <w:rsid w:val="00504486"/>
    <w:rsid w:val="0052622F"/>
    <w:rsid w:val="005418B6"/>
    <w:rsid w:val="00555B1E"/>
    <w:rsid w:val="00563C9C"/>
    <w:rsid w:val="00571C5C"/>
    <w:rsid w:val="005D4444"/>
    <w:rsid w:val="005D558F"/>
    <w:rsid w:val="005E28DA"/>
    <w:rsid w:val="005E4F1C"/>
    <w:rsid w:val="005F21BC"/>
    <w:rsid w:val="006102F5"/>
    <w:rsid w:val="00610B51"/>
    <w:rsid w:val="00610B94"/>
    <w:rsid w:val="00620677"/>
    <w:rsid w:val="00621ED2"/>
    <w:rsid w:val="006732C9"/>
    <w:rsid w:val="00680E39"/>
    <w:rsid w:val="00682FA0"/>
    <w:rsid w:val="00696B73"/>
    <w:rsid w:val="006A215F"/>
    <w:rsid w:val="006C2D7C"/>
    <w:rsid w:val="006C344A"/>
    <w:rsid w:val="006D338B"/>
    <w:rsid w:val="006E0A71"/>
    <w:rsid w:val="006F3298"/>
    <w:rsid w:val="0070013F"/>
    <w:rsid w:val="0070374A"/>
    <w:rsid w:val="00703D29"/>
    <w:rsid w:val="007046CA"/>
    <w:rsid w:val="00713B0A"/>
    <w:rsid w:val="00715510"/>
    <w:rsid w:val="00727B6C"/>
    <w:rsid w:val="00736ACC"/>
    <w:rsid w:val="007624FC"/>
    <w:rsid w:val="007760CA"/>
    <w:rsid w:val="00776D3B"/>
    <w:rsid w:val="0078425B"/>
    <w:rsid w:val="00786928"/>
    <w:rsid w:val="007B0737"/>
    <w:rsid w:val="007B074D"/>
    <w:rsid w:val="007B4894"/>
    <w:rsid w:val="007B4DC5"/>
    <w:rsid w:val="007C28B5"/>
    <w:rsid w:val="007D634A"/>
    <w:rsid w:val="007F1154"/>
    <w:rsid w:val="00815BE3"/>
    <w:rsid w:val="0082557E"/>
    <w:rsid w:val="00836D2F"/>
    <w:rsid w:val="00843CD6"/>
    <w:rsid w:val="0084412E"/>
    <w:rsid w:val="00852199"/>
    <w:rsid w:val="00857C17"/>
    <w:rsid w:val="00876E40"/>
    <w:rsid w:val="00886555"/>
    <w:rsid w:val="00891441"/>
    <w:rsid w:val="00892111"/>
    <w:rsid w:val="00893193"/>
    <w:rsid w:val="008962E7"/>
    <w:rsid w:val="008A69B9"/>
    <w:rsid w:val="008B23DC"/>
    <w:rsid w:val="008B6BD5"/>
    <w:rsid w:val="008D45E2"/>
    <w:rsid w:val="008F3199"/>
    <w:rsid w:val="008F3CE3"/>
    <w:rsid w:val="008F6141"/>
    <w:rsid w:val="009028C9"/>
    <w:rsid w:val="00924DCE"/>
    <w:rsid w:val="00941299"/>
    <w:rsid w:val="009442E9"/>
    <w:rsid w:val="0094548B"/>
    <w:rsid w:val="00954364"/>
    <w:rsid w:val="00960659"/>
    <w:rsid w:val="00962A32"/>
    <w:rsid w:val="0098765B"/>
    <w:rsid w:val="009C0982"/>
    <w:rsid w:val="009C51FB"/>
    <w:rsid w:val="009D5760"/>
    <w:rsid w:val="009E72C1"/>
    <w:rsid w:val="009F65E0"/>
    <w:rsid w:val="00A131D4"/>
    <w:rsid w:val="00A25506"/>
    <w:rsid w:val="00A27EC3"/>
    <w:rsid w:val="00A4556C"/>
    <w:rsid w:val="00A517EA"/>
    <w:rsid w:val="00A6757E"/>
    <w:rsid w:val="00A675CB"/>
    <w:rsid w:val="00A7046B"/>
    <w:rsid w:val="00A962D3"/>
    <w:rsid w:val="00AA42C3"/>
    <w:rsid w:val="00AA4DAD"/>
    <w:rsid w:val="00AB5272"/>
    <w:rsid w:val="00AE059C"/>
    <w:rsid w:val="00AE35D9"/>
    <w:rsid w:val="00AE3C07"/>
    <w:rsid w:val="00AF6F91"/>
    <w:rsid w:val="00B01A79"/>
    <w:rsid w:val="00B17D16"/>
    <w:rsid w:val="00B228A2"/>
    <w:rsid w:val="00B314A2"/>
    <w:rsid w:val="00B32979"/>
    <w:rsid w:val="00B3641B"/>
    <w:rsid w:val="00B53652"/>
    <w:rsid w:val="00B8078B"/>
    <w:rsid w:val="00B90B63"/>
    <w:rsid w:val="00B95E57"/>
    <w:rsid w:val="00BA7854"/>
    <w:rsid w:val="00BB0F5C"/>
    <w:rsid w:val="00BB5F7A"/>
    <w:rsid w:val="00BC3645"/>
    <w:rsid w:val="00BC66DA"/>
    <w:rsid w:val="00BD64C4"/>
    <w:rsid w:val="00BF2AC6"/>
    <w:rsid w:val="00C0450B"/>
    <w:rsid w:val="00C16BB2"/>
    <w:rsid w:val="00C32437"/>
    <w:rsid w:val="00C40548"/>
    <w:rsid w:val="00C50736"/>
    <w:rsid w:val="00C5146D"/>
    <w:rsid w:val="00C519CB"/>
    <w:rsid w:val="00C734A3"/>
    <w:rsid w:val="00C907FE"/>
    <w:rsid w:val="00C9117B"/>
    <w:rsid w:val="00CA6124"/>
    <w:rsid w:val="00CD0A91"/>
    <w:rsid w:val="00CD2969"/>
    <w:rsid w:val="00CE2B47"/>
    <w:rsid w:val="00CE5726"/>
    <w:rsid w:val="00CF1F90"/>
    <w:rsid w:val="00D10D21"/>
    <w:rsid w:val="00D15BD1"/>
    <w:rsid w:val="00D21807"/>
    <w:rsid w:val="00D27BD9"/>
    <w:rsid w:val="00D30C7B"/>
    <w:rsid w:val="00D53516"/>
    <w:rsid w:val="00D637A6"/>
    <w:rsid w:val="00D85092"/>
    <w:rsid w:val="00D9667E"/>
    <w:rsid w:val="00DA2A28"/>
    <w:rsid w:val="00DB5931"/>
    <w:rsid w:val="00DC5B9F"/>
    <w:rsid w:val="00DE3E93"/>
    <w:rsid w:val="00E04099"/>
    <w:rsid w:val="00E079BA"/>
    <w:rsid w:val="00E12D78"/>
    <w:rsid w:val="00E16579"/>
    <w:rsid w:val="00E374EA"/>
    <w:rsid w:val="00E45C0C"/>
    <w:rsid w:val="00E55A6D"/>
    <w:rsid w:val="00E6348F"/>
    <w:rsid w:val="00E66A0C"/>
    <w:rsid w:val="00E70072"/>
    <w:rsid w:val="00E76CB1"/>
    <w:rsid w:val="00E90141"/>
    <w:rsid w:val="00EA17FD"/>
    <w:rsid w:val="00EA5741"/>
    <w:rsid w:val="00EC4AFB"/>
    <w:rsid w:val="00EE6E16"/>
    <w:rsid w:val="00EF045E"/>
    <w:rsid w:val="00EF1020"/>
    <w:rsid w:val="00EF430C"/>
    <w:rsid w:val="00EF4A2C"/>
    <w:rsid w:val="00F04306"/>
    <w:rsid w:val="00F14C3A"/>
    <w:rsid w:val="00F17522"/>
    <w:rsid w:val="00F241A4"/>
    <w:rsid w:val="00F30652"/>
    <w:rsid w:val="00F44034"/>
    <w:rsid w:val="00F512C6"/>
    <w:rsid w:val="00F55A2A"/>
    <w:rsid w:val="00F662E1"/>
    <w:rsid w:val="00F74D4D"/>
    <w:rsid w:val="00F86466"/>
    <w:rsid w:val="00F95860"/>
    <w:rsid w:val="00FA2A51"/>
    <w:rsid w:val="00FB63D8"/>
    <w:rsid w:val="00FC38B5"/>
    <w:rsid w:val="00FC5696"/>
    <w:rsid w:val="077AB163"/>
    <w:rsid w:val="0C3A205C"/>
    <w:rsid w:val="20043C72"/>
    <w:rsid w:val="76A2B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9723D"/>
  <w15:chartTrackingRefBased/>
  <w15:docId w15:val="{C80FBC27-7378-4501-B9F3-7703DCB6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66D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66D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66D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BC66DA"/>
    <w:rPr>
      <w:rFonts w:asciiTheme="majorHAnsi" w:hAnsiTheme="majorHAnsi" w:eastAsiaTheme="majorEastAsia" w:cstheme="majorBidi"/>
      <w:color w:val="2F5496" w:themeColor="accent1" w:themeShade="BF"/>
      <w:sz w:val="26"/>
      <w:szCs w:val="26"/>
    </w:rPr>
  </w:style>
  <w:style w:type="character" w:styleId="normaltextrun" w:customStyle="1">
    <w:name w:val="normaltextrun"/>
    <w:basedOn w:val="DefaultParagraphFont"/>
    <w:rsid w:val="00BC66DA"/>
  </w:style>
  <w:style w:type="table" w:styleId="TableGrid">
    <w:name w:val="Table Grid"/>
    <w:basedOn w:val="TableNormal"/>
    <w:uiPriority w:val="59"/>
    <w:rsid w:val="00BC66DA"/>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BC66DA"/>
    <w:pPr>
      <w:spacing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BC66DA"/>
    <w:rPr>
      <w:kern w:val="0"/>
      <w:sz w:val="20"/>
      <w:szCs w:val="20"/>
      <w14:ligatures w14:val="none"/>
    </w:rPr>
  </w:style>
  <w:style w:type="character" w:styleId="CommentReference">
    <w:name w:val="annotation reference"/>
    <w:basedOn w:val="DefaultParagraphFont"/>
    <w:uiPriority w:val="99"/>
    <w:semiHidden/>
    <w:unhideWhenUsed/>
    <w:rsid w:val="00BC66DA"/>
    <w:rPr>
      <w:sz w:val="16"/>
      <w:szCs w:val="16"/>
    </w:rPr>
  </w:style>
  <w:style w:type="paragraph" w:styleId="ListParagraph">
    <w:name w:val="List Paragraph"/>
    <w:basedOn w:val="Normal"/>
    <w:uiPriority w:val="34"/>
    <w:qFormat/>
    <w:rsid w:val="00BC66DA"/>
    <w:pPr>
      <w:ind w:left="720"/>
      <w:contextualSpacing/>
    </w:pPr>
  </w:style>
  <w:style w:type="character" w:styleId="Hyperlink">
    <w:name w:val="Hyperlink"/>
    <w:basedOn w:val="DefaultParagraphFont"/>
    <w:uiPriority w:val="99"/>
    <w:unhideWhenUsed/>
    <w:rsid w:val="00BC66DA"/>
    <w:rPr>
      <w:color w:val="0563C1" w:themeColor="hyperlink"/>
      <w:u w:val="single"/>
    </w:rPr>
  </w:style>
  <w:style w:type="character" w:styleId="Mention">
    <w:name w:val="Mention"/>
    <w:basedOn w:val="DefaultParagraphFont"/>
    <w:uiPriority w:val="99"/>
    <w:unhideWhenUsed/>
    <w:rsid w:val="00BC66DA"/>
    <w:rPr>
      <w:color w:val="2B579A"/>
      <w:shd w:val="clear" w:color="auto" w:fill="E1DFDD"/>
    </w:rPr>
  </w:style>
  <w:style w:type="character" w:styleId="FollowedHyperlink">
    <w:name w:val="FollowedHyperlink"/>
    <w:basedOn w:val="DefaultParagraphFont"/>
    <w:uiPriority w:val="99"/>
    <w:semiHidden/>
    <w:unhideWhenUsed/>
    <w:rsid w:val="00BC66DA"/>
    <w:rPr>
      <w:color w:val="954F72" w:themeColor="followedHyperlink"/>
      <w:u w:val="single"/>
    </w:rPr>
  </w:style>
  <w:style w:type="paragraph" w:styleId="Header">
    <w:name w:val="header"/>
    <w:basedOn w:val="Normal"/>
    <w:link w:val="HeaderChar"/>
    <w:uiPriority w:val="99"/>
    <w:unhideWhenUsed/>
    <w:rsid w:val="00F958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5860"/>
  </w:style>
  <w:style w:type="paragraph" w:styleId="Footer">
    <w:name w:val="footer"/>
    <w:basedOn w:val="Normal"/>
    <w:link w:val="FooterChar"/>
    <w:uiPriority w:val="99"/>
    <w:unhideWhenUsed/>
    <w:rsid w:val="00F958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5860"/>
  </w:style>
  <w:style w:type="paragraph" w:styleId="Revision">
    <w:name w:val="Revision"/>
    <w:hidden/>
    <w:uiPriority w:val="99"/>
    <w:semiHidden/>
    <w:rsid w:val="00DB5931"/>
    <w:pPr>
      <w:spacing w:after="0" w:line="240" w:lineRule="auto"/>
    </w:pPr>
  </w:style>
  <w:style w:type="paragraph" w:styleId="CommentSubject">
    <w:name w:val="annotation subject"/>
    <w:basedOn w:val="CommentText"/>
    <w:next w:val="CommentText"/>
    <w:link w:val="CommentSubjectChar"/>
    <w:uiPriority w:val="99"/>
    <w:semiHidden/>
    <w:unhideWhenUsed/>
    <w:rsid w:val="00EF1020"/>
    <w:rPr>
      <w:b/>
      <w:bCs/>
      <w:kern w:val="2"/>
      <w14:ligatures w14:val="standardContextual"/>
    </w:rPr>
  </w:style>
  <w:style w:type="character" w:styleId="CommentSubjectChar" w:customStyle="1">
    <w:name w:val="Comment Subject Char"/>
    <w:basedOn w:val="CommentTextChar"/>
    <w:link w:val="CommentSubject"/>
    <w:uiPriority w:val="99"/>
    <w:semiHidden/>
    <w:rsid w:val="00EF1020"/>
    <w:rPr>
      <w:b/>
      <w:bCs/>
      <w:kern w:val="0"/>
      <w:sz w:val="20"/>
      <w:szCs w:val="20"/>
      <w14:ligatures w14:val="none"/>
    </w:rPr>
  </w:style>
  <w:style w:type="character" w:styleId="UnresolvedMention">
    <w:name w:val="Unresolved Mention"/>
    <w:basedOn w:val="DefaultParagraphFont"/>
    <w:uiPriority w:val="99"/>
    <w:semiHidden/>
    <w:unhideWhenUsed/>
    <w:rsid w:val="0034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iclppp.org/wp-content/uploads/Is-Your-Child-Safe_Final.pdf" TargetMode="External" Id="rId13" /><Relationship Type="http://schemas.openxmlformats.org/officeDocument/2006/relationships/hyperlink" Target="https://miclppp.org/wp-content/uploads/CHW-SDOH-Assessment-draft_prepare-for-fillable-PDF_05022022.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miclppp.org/wp-content/uploads/Case%20Management/Educational%20Handouts/Blood-Lead-Test_2021-white-backer.pdf" TargetMode="External" Id="rId12" /><Relationship Type="http://schemas.openxmlformats.org/officeDocument/2006/relationships/hyperlink" Target="https://www.michigan.gov/mileadsafe" TargetMode="External" Id="rId17" /><Relationship Type="http://schemas.openxmlformats.org/officeDocument/2006/relationships/customXml" Target="../customXml/item2.xml" Id="rId2" /><Relationship Type="http://schemas.openxmlformats.org/officeDocument/2006/relationships/hyperlink" Target="https://www.michigan.gov/mileadsaf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ew.officeapps.live.com/op/view.aspx?src=https%3A%2F%2Fmiclppp.org%2Fwp-content%2Fuploads%2FLetter-for-Family_Unable-to-Reach_2.7.2024.docx&amp;wdOrigin=BROWSELINK" TargetMode="External" Id="rId11" /><Relationship Type="http://schemas.openxmlformats.org/officeDocument/2006/relationships/styles" Target="styles.xml" Id="rId5" /><Relationship Type="http://schemas.openxmlformats.org/officeDocument/2006/relationships/hyperlink" Target="https://www.michigan.gov/mileadsafe/-/media/Project/Websites/mileadsafe/Forms-and-data-collection-tools/Apply-for-home-lead-inspection-and-abatement-services.pdf?rev=142e8c9705bf451c82166652d42c67b1&amp;hash=E081EA6F48376F7E1C1199B602324A7C" TargetMode="External" Id="rId15" /><Relationship Type="http://schemas.openxmlformats.org/officeDocument/2006/relationships/hyperlink" Target="https://dhhs.michigan.gov/OLMWEB/EX/HP/Public/HPE/531-101.pdf" TargetMode="External" Id="rId10" /><Relationship Type="http://schemas.openxmlformats.org/officeDocument/2006/relationships/hyperlink" Target="mailto:MDHHS-CLPPP@michigan.gov"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iclppp.org/wp-content/uploads/Well-Fed-Means-Less-Lead_Final.pdf" TargetMode="External" Id="rId14" /><Relationship Type="http://schemas.openxmlformats.org/officeDocument/2006/relationships/theme" Target="theme/theme1.xml" Id="rId22" /><Relationship Type="http://schemas.openxmlformats.org/officeDocument/2006/relationships/header" Target="header.xml" Id="Re2f79eaa944648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947550-4a37-4e76-8f02-f8060a826c31" xsi:nil="true"/>
    <MediaServiceAutoTags xmlns="483f433b-89f6-4bf3-8c79-94ac75951d13" xsi:nil="true"/>
    <MediaServiceOCR xmlns="483f433b-89f6-4bf3-8c79-94ac75951d13" xsi:nil="true"/>
    <lcf76f155ced4ddcb4097134ff3c332f xmlns="483f433b-89f6-4bf3-8c79-94ac75951d13">
      <Terms xmlns="http://schemas.microsoft.com/office/infopath/2007/PartnerControls"/>
    </lcf76f155ced4ddcb4097134ff3c332f>
    <MediaServiceLocation xmlns="483f433b-89f6-4bf3-8c79-94ac75951d13" xsi:nil="true"/>
    <SharedWithUsers xmlns="b8947550-4a37-4e76-8f02-f8060a826c31">
      <UserInfo>
        <DisplayName>Medina, Angela (DHHS)</DisplayName>
        <AccountId>45</AccountId>
        <AccountType/>
      </UserInfo>
      <UserInfo>
        <DisplayName>Fox, Julianne (DHHS-Contractor)</DisplayName>
        <AccountId>47</AccountId>
        <AccountType/>
      </UserInfo>
      <UserInfo>
        <DisplayName>SharePoint App</DisplayName>
        <AccountId>1073741822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F05AD8FF92E45B68D7B32A236675C" ma:contentTypeVersion="11" ma:contentTypeDescription="Create a new document." ma:contentTypeScope="" ma:versionID="f0b35fd465e3c6d4257a809a92d94fbe">
  <xsd:schema xmlns:xsd="http://www.w3.org/2001/XMLSchema" xmlns:xs="http://www.w3.org/2001/XMLSchema" xmlns:p="http://schemas.microsoft.com/office/2006/metadata/properties" xmlns:ns2="483f433b-89f6-4bf3-8c79-94ac75951d13" xmlns:ns3="b8947550-4a37-4e76-8f02-f8060a826c31" targetNamespace="http://schemas.microsoft.com/office/2006/metadata/properties" ma:root="true" ma:fieldsID="5a2b9cdab79e1b5cb5845d34dde15282" ns2:_="" ns3:_="">
    <xsd:import namespace="483f433b-89f6-4bf3-8c79-94ac75951d13"/>
    <xsd:import namespace="b8947550-4a37-4e76-8f02-f8060a826c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lcf76f155ced4ddcb4097134ff3c332f" minOccurs="0"/>
                <xsd:element ref="ns3:TaxCatchAll" minOccurs="0"/>
                <xsd:element ref="ns2:MediaServiceSearchProperties" minOccurs="0"/>
                <xsd:element ref="ns2:MediaServiceLocation"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433b-89f6-4bf3-8c79-94ac75951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false">
      <xsd:simpleType>
        <xsd:restriction base="dms:Text"/>
      </xsd:simpleType>
    </xsd:element>
    <xsd:element name="MediaServiceOCR" ma:index="13" nillable="true" ma:displayName="Extracted Text" ma:internalName="MediaServiceOCR" ma:readOnly="fals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47550-4a37-4e76-8f02-f8060a826c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9aa7a7-83e1-48b7-acd7-2b76c98c9ef9}" ma:internalName="TaxCatchAll" ma:showField="CatchAllData" ma:web="b8947550-4a37-4e76-8f02-f8060a826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CC2A9-FE33-43BA-930E-85C2CDA25AEF}">
  <ds:schemaRefs>
    <ds:schemaRef ds:uri="http://schemas.microsoft.com/office/2006/metadata/properties"/>
    <ds:schemaRef ds:uri="http://schemas.microsoft.com/office/infopath/2007/PartnerControls"/>
    <ds:schemaRef ds:uri="b8947550-4a37-4e76-8f02-f8060a826c31"/>
    <ds:schemaRef ds:uri="483f433b-89f6-4bf3-8c79-94ac75951d13"/>
  </ds:schemaRefs>
</ds:datastoreItem>
</file>

<file path=customXml/itemProps2.xml><?xml version="1.0" encoding="utf-8"?>
<ds:datastoreItem xmlns:ds="http://schemas.openxmlformats.org/officeDocument/2006/customXml" ds:itemID="{CD2ECB9F-1B22-49FD-805B-FEE4090A75B2}">
  <ds:schemaRefs>
    <ds:schemaRef ds:uri="http://schemas.microsoft.com/sharepoint/v3/contenttype/forms"/>
  </ds:schemaRefs>
</ds:datastoreItem>
</file>

<file path=customXml/itemProps3.xml><?xml version="1.0" encoding="utf-8"?>
<ds:datastoreItem xmlns:ds="http://schemas.openxmlformats.org/officeDocument/2006/customXml" ds:itemID="{786ACEB8-BF1D-4521-AB57-5CD2151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433b-89f6-4bf3-8c79-94ac75951d13"/>
    <ds:schemaRef ds:uri="b8947550-4a37-4e76-8f02-f8060a82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Angela (DHHS-Contractor)</dc:creator>
  <cp:keywords/>
  <dc:description/>
  <cp:lastModifiedBy>Surma, Aimee (DHHS-Contractor)</cp:lastModifiedBy>
  <cp:revision>35</cp:revision>
  <dcterms:created xsi:type="dcterms:W3CDTF">2024-05-20T16:10:00Z</dcterms:created>
  <dcterms:modified xsi:type="dcterms:W3CDTF">2025-08-25T20:47:55Z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2023-06-25T15:35:34Z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b56b984e-bf09-4326-b455-fdc22d9ac219</vt:lpwstr>
  </property>
  <property fmtid="{D5CDD505-2E9C-101B-9397-08002B2CF9AE}" pid="8" name="MSIP_Label_3a2fed65-62e7-46ea-af74-187e0c17143a_ContentBits">
    <vt:lpwstr>0</vt:lpwstr>
  </property>
  <property fmtid="{D5CDD505-2E9C-101B-9397-08002B2CF9AE}" pid="9" name="ContentTypeId">
    <vt:lpwstr>0x010100B34F05AD8FF92E45B68D7B32A236675C</vt:lpwstr>
  </property>
  <property fmtid="{D5CDD505-2E9C-101B-9397-08002B2CF9AE}" pid="10" name="MediaServiceImageTags">
    <vt:lpwstr/>
  </property>
  <property fmtid="{D5CDD505-2E9C-101B-9397-08002B2CF9AE}" pid="11" name="Order">
    <vt:r8>1388100</vt:r8>
  </property>
  <property fmtid="{D5CDD505-2E9C-101B-9397-08002B2CF9AE}" pid="12" name="ComplianceAssetId">
    <vt:lpwstr/>
  </property>
  <property fmtid="{D5CDD505-2E9C-101B-9397-08002B2CF9AE}" pid="13" name="_ExtendedDescription">
    <vt:lpwstr/>
  </property>
  <property fmtid="{D5CDD505-2E9C-101B-9397-08002B2CF9AE}" pid="14" name="SharedWithUsers">
    <vt:lpwstr>45;#Medina, Angela (DHHS);#47;#Fox, Julianne (DHHS-Contractor);#1073741822;#SharePoint App</vt:lpwstr>
  </property>
  <property fmtid="{D5CDD505-2E9C-101B-9397-08002B2CF9AE}" pid="15" name="lcf76f155ced4ddcb4097134ff3c332f">
    <vt:lpwstr/>
  </property>
  <property fmtid="{D5CDD505-2E9C-101B-9397-08002B2CF9AE}" pid="16" name="TaxCatchAll">
    <vt:lpwstr/>
  </property>
</Properties>
</file>