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1061" w14:textId="77777777" w:rsidR="007C6E37" w:rsidRPr="00065A7B" w:rsidRDefault="007C6E37" w:rsidP="007C6E37">
      <w:pPr>
        <w:rPr>
          <w:b/>
          <w:sz w:val="24"/>
          <w:szCs w:val="24"/>
        </w:rPr>
      </w:pPr>
      <w:r w:rsidRPr="00065A7B">
        <w:rPr>
          <w:b/>
          <w:sz w:val="24"/>
          <w:szCs w:val="24"/>
        </w:rPr>
        <w:t xml:space="preserve">Local Childhood Lead Poisoning Prevention Grant </w:t>
      </w:r>
    </w:p>
    <w:p w14:paraId="41367D7E" w14:textId="63509C58" w:rsidR="007C6E37" w:rsidRPr="007C6E37" w:rsidRDefault="007C6E37" w:rsidP="006B3459">
      <w:pPr>
        <w:rPr>
          <w:b/>
          <w:sz w:val="24"/>
          <w:szCs w:val="24"/>
        </w:rPr>
      </w:pPr>
      <w:r>
        <w:rPr>
          <w:b/>
          <w:sz w:val="24"/>
          <w:szCs w:val="24"/>
        </w:rPr>
        <w:t>FAQs</w:t>
      </w:r>
      <w:r w:rsidRPr="00065A7B">
        <w:rPr>
          <w:b/>
          <w:sz w:val="24"/>
          <w:szCs w:val="24"/>
        </w:rPr>
        <w:t xml:space="preserve"> FY 2020</w:t>
      </w:r>
    </w:p>
    <w:p w14:paraId="741F17F0" w14:textId="77777777" w:rsidR="00D40DCB" w:rsidRDefault="00D40DCB" w:rsidP="00D40DCB">
      <w:pPr>
        <w:rPr>
          <w:b/>
          <w:bCs/>
        </w:rPr>
      </w:pPr>
      <w:r>
        <w:rPr>
          <w:b/>
          <w:bCs/>
        </w:rPr>
        <w:t>Why is the focus of the grants changing in FY20?</w:t>
      </w:r>
    </w:p>
    <w:p w14:paraId="389975A2" w14:textId="1338EF0C" w:rsidR="00D40DCB" w:rsidRDefault="00D40DCB" w:rsidP="006B3459">
      <w:pPr>
        <w:rPr>
          <w:b/>
          <w:bCs/>
        </w:rPr>
      </w:pPr>
      <w:r>
        <w:t xml:space="preserve">These grants are funded with federal dollars from the HRSA Maternal Child Health Block Grant.  The requirement of that funding is to increase testing for children under the age of 6, specifically increasing capillary to venous testing rates. LHD work plans for these grant funded projects should align with this requirement. </w:t>
      </w:r>
    </w:p>
    <w:p w14:paraId="4EEAF319" w14:textId="70CB0C08" w:rsidR="006B3459" w:rsidRPr="00E172BB" w:rsidRDefault="006B3459" w:rsidP="006B3459">
      <w:pPr>
        <w:rPr>
          <w:b/>
          <w:bCs/>
        </w:rPr>
      </w:pPr>
      <w:r w:rsidRPr="00E172BB">
        <w:rPr>
          <w:b/>
          <w:bCs/>
        </w:rPr>
        <w:t>For the purpose of this grant, is our jurisdiction</w:t>
      </w:r>
      <w:r w:rsidR="0022493D">
        <w:rPr>
          <w:b/>
          <w:bCs/>
        </w:rPr>
        <w:t>,</w:t>
      </w:r>
      <w:r w:rsidRPr="00E172BB">
        <w:rPr>
          <w:b/>
          <w:bCs/>
        </w:rPr>
        <w:t xml:space="preserve"> </w:t>
      </w:r>
      <w:r w:rsidR="0022493D">
        <w:rPr>
          <w:b/>
          <w:bCs/>
        </w:rPr>
        <w:t>the entire</w:t>
      </w:r>
      <w:r w:rsidRPr="00E172BB">
        <w:rPr>
          <w:b/>
          <w:bCs/>
        </w:rPr>
        <w:t xml:space="preserve"> Prosperity Region?</w:t>
      </w:r>
    </w:p>
    <w:p w14:paraId="3061C5E5" w14:textId="05B559A2" w:rsidR="006B3459" w:rsidRDefault="007C6E37" w:rsidP="006B3459">
      <w:r>
        <w:t xml:space="preserve">Not necessarily. You are able to determine the target of your grant work within the prosperity region. You can do smaller, targeted activities to increase capillary to venous rates, and expand in the future. We ask that this is explained in the work plan. </w:t>
      </w:r>
      <w:r w:rsidR="006B3459">
        <w:t>CLPPP can provide b</w:t>
      </w:r>
      <w:r w:rsidR="0022493D">
        <w:t>lood lead testing</w:t>
      </w:r>
      <w:r w:rsidR="006B3459">
        <w:t xml:space="preserve"> data if you need more information about your area.</w:t>
      </w:r>
    </w:p>
    <w:p w14:paraId="21209815" w14:textId="5ED0981C" w:rsidR="006B3459" w:rsidRPr="00E172BB" w:rsidRDefault="006B3459" w:rsidP="006B3459">
      <w:pPr>
        <w:rPr>
          <w:b/>
          <w:bCs/>
        </w:rPr>
      </w:pPr>
      <w:r w:rsidRPr="00E172BB">
        <w:rPr>
          <w:b/>
          <w:bCs/>
        </w:rPr>
        <w:t>What kind of staffing do I need for the grant?</w:t>
      </w:r>
    </w:p>
    <w:p w14:paraId="082F6C92" w14:textId="79419E80" w:rsidR="006B3459" w:rsidRDefault="006B3459" w:rsidP="006B3459">
      <w:r>
        <w:t>Staffing requirements are not any different for the FY 2020 grant.  Staff that you have used in the pas</w:t>
      </w:r>
      <w:r w:rsidR="007C6E37">
        <w:t>t</w:t>
      </w:r>
      <w:r>
        <w:t xml:space="preserve"> should be able to handle the new requirements. Staff facilitating the requirements of the grant should have good communication and organizational skills.</w:t>
      </w:r>
    </w:p>
    <w:p w14:paraId="1CABA91C" w14:textId="636BEDDB" w:rsidR="006B3459" w:rsidRPr="00E172BB" w:rsidRDefault="006B3459" w:rsidP="006B3459">
      <w:pPr>
        <w:rPr>
          <w:b/>
          <w:bCs/>
        </w:rPr>
      </w:pPr>
      <w:r w:rsidRPr="00E172BB">
        <w:rPr>
          <w:b/>
          <w:bCs/>
        </w:rPr>
        <w:t>Can we use our grant fund for NCM activities for non</w:t>
      </w:r>
      <w:r w:rsidR="0022493D">
        <w:rPr>
          <w:b/>
          <w:bCs/>
        </w:rPr>
        <w:t>-</w:t>
      </w:r>
      <w:r w:rsidRPr="00E172BB">
        <w:rPr>
          <w:b/>
          <w:bCs/>
        </w:rPr>
        <w:t>Medicaid children?</w:t>
      </w:r>
    </w:p>
    <w:p w14:paraId="3266FA07" w14:textId="54B96F47" w:rsidR="00F66497" w:rsidRDefault="006B3459" w:rsidP="006B3459">
      <w:r>
        <w:t xml:space="preserve">Yes, </w:t>
      </w:r>
      <w:r w:rsidR="007C6E37">
        <w:t xml:space="preserve">you are able to use these grant funds to provider NCM visits for all children not enrolled in Medicaid with an EBLL in your jurisdiction. For budgeting purposes, we suggest using the Medicaid reimbursement amount of $201.58 per visit. </w:t>
      </w:r>
      <w:r w:rsidR="00F66497">
        <w:t>Adjustments can be made if you exceed those visits in FY 2020.</w:t>
      </w:r>
    </w:p>
    <w:p w14:paraId="1E7EDBDD" w14:textId="471B1E51" w:rsidR="00F66497" w:rsidRPr="00E172BB" w:rsidRDefault="00F66497" w:rsidP="006B3459">
      <w:pPr>
        <w:rPr>
          <w:b/>
          <w:bCs/>
        </w:rPr>
      </w:pPr>
      <w:r w:rsidRPr="00E172BB">
        <w:rPr>
          <w:b/>
          <w:bCs/>
        </w:rPr>
        <w:t>How do we know i</w:t>
      </w:r>
      <w:r w:rsidR="00374648" w:rsidRPr="00E172BB">
        <w:rPr>
          <w:b/>
          <w:bCs/>
        </w:rPr>
        <w:t>f</w:t>
      </w:r>
      <w:r w:rsidRPr="00E172BB">
        <w:rPr>
          <w:b/>
          <w:bCs/>
        </w:rPr>
        <w:t xml:space="preserve"> we are improving our cap</w:t>
      </w:r>
      <w:r w:rsidR="001935CD">
        <w:rPr>
          <w:b/>
          <w:bCs/>
        </w:rPr>
        <w:t>illary</w:t>
      </w:r>
      <w:r w:rsidRPr="00E172BB">
        <w:rPr>
          <w:b/>
          <w:bCs/>
        </w:rPr>
        <w:t xml:space="preserve"> to venous rate?</w:t>
      </w:r>
    </w:p>
    <w:p w14:paraId="19962E70" w14:textId="6F236ED9" w:rsidR="00F66497" w:rsidRDefault="00F66497" w:rsidP="006B3459">
      <w:r>
        <w:t xml:space="preserve">After you select an area to work in, CLPPP can provide you with current testing data as a baseline.  </w:t>
      </w:r>
    </w:p>
    <w:p w14:paraId="1FBAB3CB" w14:textId="004DC3E0" w:rsidR="00F66497" w:rsidRPr="00E172BB" w:rsidRDefault="00F66497" w:rsidP="006B3459">
      <w:pPr>
        <w:rPr>
          <w:b/>
          <w:bCs/>
        </w:rPr>
      </w:pPr>
      <w:r w:rsidRPr="00E172BB">
        <w:rPr>
          <w:b/>
          <w:bCs/>
        </w:rPr>
        <w:t xml:space="preserve">Is there a required number of visits to </w:t>
      </w:r>
      <w:r w:rsidR="007C6E37">
        <w:rPr>
          <w:b/>
          <w:bCs/>
        </w:rPr>
        <w:t>health care p</w:t>
      </w:r>
      <w:r w:rsidRPr="00E172BB">
        <w:rPr>
          <w:b/>
          <w:bCs/>
        </w:rPr>
        <w:t>roviders?</w:t>
      </w:r>
    </w:p>
    <w:p w14:paraId="6217304A" w14:textId="7132F277" w:rsidR="00F66497" w:rsidRDefault="00F66497" w:rsidP="006B3459">
      <w:r>
        <w:t xml:space="preserve">No.  </w:t>
      </w:r>
      <w:r w:rsidR="00D40DCB">
        <w:t>If you choose to include visits to health care providers, w</w:t>
      </w:r>
      <w:r>
        <w:t>e ask that you set an attainable goal</w:t>
      </w:r>
      <w:r w:rsidR="0075061A">
        <w:t xml:space="preserve"> (number of visits) per</w:t>
      </w:r>
      <w:r>
        <w:t xml:space="preserve"> quarter</w:t>
      </w:r>
      <w:r w:rsidR="0075061A">
        <w:t xml:space="preserve"> depending on your funding.</w:t>
      </w:r>
      <w:r>
        <w:t xml:space="preserve">  We understand that depending on the area, </w:t>
      </w:r>
      <w:r w:rsidR="0075061A">
        <w:t>agencies are awarded different funding.  We would like you to plan on spending the entire grant</w:t>
      </w:r>
      <w:r w:rsidR="00DC1669">
        <w:t xml:space="preserve"> monies</w:t>
      </w:r>
      <w:r w:rsidR="007C6E37">
        <w:t xml:space="preserve">. </w:t>
      </w:r>
      <w:r>
        <w:t>This will be monitored through your FSRs and quarterly reports.</w:t>
      </w:r>
    </w:p>
    <w:p w14:paraId="5FAC4F89" w14:textId="6F3D2DBC" w:rsidR="0075061A" w:rsidRPr="00E172BB" w:rsidRDefault="0075061A" w:rsidP="006B3459">
      <w:pPr>
        <w:rPr>
          <w:b/>
          <w:bCs/>
        </w:rPr>
      </w:pPr>
      <w:r w:rsidRPr="00E172BB">
        <w:rPr>
          <w:b/>
          <w:bCs/>
        </w:rPr>
        <w:t>Can we still do presentation</w:t>
      </w:r>
      <w:r w:rsidR="001935CD">
        <w:rPr>
          <w:b/>
          <w:bCs/>
        </w:rPr>
        <w:t>s</w:t>
      </w:r>
      <w:r w:rsidRPr="00E172BB">
        <w:rPr>
          <w:b/>
          <w:bCs/>
        </w:rPr>
        <w:t xml:space="preserve"> to </w:t>
      </w:r>
      <w:r w:rsidR="001935CD">
        <w:rPr>
          <w:b/>
          <w:bCs/>
        </w:rPr>
        <w:t xml:space="preserve">specialty </w:t>
      </w:r>
      <w:r w:rsidRPr="00E172BB">
        <w:rPr>
          <w:b/>
          <w:bCs/>
        </w:rPr>
        <w:t xml:space="preserve">groups?  </w:t>
      </w:r>
    </w:p>
    <w:p w14:paraId="048E4F3C" w14:textId="0AE579D4" w:rsidR="00374648" w:rsidRDefault="0075061A" w:rsidP="006B3459">
      <w:r>
        <w:t xml:space="preserve">Of course, but </w:t>
      </w:r>
      <w:r w:rsidR="001935CD">
        <w:t xml:space="preserve">remember the emphasis of the grant of increasing capillary to venous rates when you are preparing for presentations. </w:t>
      </w:r>
      <w:r w:rsidR="001A51D3">
        <w:t>It’s important to educate providers, parents, and at-risk populations about the need for confirmatory venous tests, as it ensures accuracy and is needed to initiate nursing case management, environmental investigations, and abatement activities.</w:t>
      </w:r>
    </w:p>
    <w:p w14:paraId="3FA0FF5A" w14:textId="00772954" w:rsidR="00374648" w:rsidRPr="00E172BB" w:rsidRDefault="00374648" w:rsidP="006B3459">
      <w:pPr>
        <w:rPr>
          <w:b/>
          <w:bCs/>
        </w:rPr>
      </w:pPr>
      <w:r w:rsidRPr="00E172BB">
        <w:rPr>
          <w:b/>
          <w:bCs/>
        </w:rPr>
        <w:t xml:space="preserve">What do we want </w:t>
      </w:r>
      <w:r w:rsidR="001935CD">
        <w:rPr>
          <w:b/>
          <w:bCs/>
        </w:rPr>
        <w:t>health care p</w:t>
      </w:r>
      <w:r w:rsidRPr="00E172BB">
        <w:rPr>
          <w:b/>
          <w:bCs/>
        </w:rPr>
        <w:t>roviders to know?</w:t>
      </w:r>
    </w:p>
    <w:p w14:paraId="51EEEB16" w14:textId="1C0E5981" w:rsidR="001A51D3" w:rsidRDefault="001A51D3" w:rsidP="006B3459">
      <w:r>
        <w:t>We want health care providers to understand:</w:t>
      </w:r>
    </w:p>
    <w:p w14:paraId="6D8C711E" w14:textId="60B8464F" w:rsidR="001A51D3" w:rsidRDefault="001A51D3" w:rsidP="001A51D3">
      <w:pPr>
        <w:pStyle w:val="ListParagraph"/>
        <w:numPr>
          <w:ilvl w:val="0"/>
          <w:numId w:val="1"/>
        </w:numPr>
      </w:pPr>
      <w:r>
        <w:lastRenderedPageBreak/>
        <w:t>It is a requirement of Medicaid, that enrolled children are tested at 12 and 24 months. If not tested at those times, at least one test is required between 36 and 72 months.</w:t>
      </w:r>
    </w:p>
    <w:p w14:paraId="186E365E" w14:textId="09CDDE88" w:rsidR="001A51D3" w:rsidRDefault="001A51D3" w:rsidP="001A51D3">
      <w:pPr>
        <w:pStyle w:val="ListParagraph"/>
        <w:numPr>
          <w:ilvl w:val="0"/>
          <w:numId w:val="1"/>
        </w:numPr>
      </w:pPr>
      <w:r>
        <w:t>It is important to test at 12 months versus the common practices of testing at 9 months.</w:t>
      </w:r>
    </w:p>
    <w:p w14:paraId="3B86120E" w14:textId="54E95ECF" w:rsidR="001A51D3" w:rsidRDefault="001A51D3" w:rsidP="006B3459">
      <w:pPr>
        <w:pStyle w:val="ListParagraph"/>
        <w:numPr>
          <w:ilvl w:val="0"/>
          <w:numId w:val="1"/>
        </w:numPr>
      </w:pPr>
      <w:r>
        <w:t xml:space="preserve">Blood lead testing at 24 months is very </w:t>
      </w:r>
      <w:r w:rsidR="009203BD">
        <w:t>important and</w:t>
      </w:r>
      <w:r>
        <w:t xml:space="preserve"> should be done for every Medicaid-enrolled child, and at-risk children. </w:t>
      </w:r>
      <w:r w:rsidR="00374648">
        <w:t>Many providers will skip that second test</w:t>
      </w:r>
      <w:r w:rsidR="00E172BB">
        <w:t>, especially</w:t>
      </w:r>
      <w:r w:rsidR="00374648">
        <w:t xml:space="preserve"> if the first one is not elevated.</w:t>
      </w:r>
    </w:p>
    <w:p w14:paraId="55575103" w14:textId="46FBF33C" w:rsidR="001A51D3" w:rsidRDefault="001A51D3" w:rsidP="006B3459">
      <w:pPr>
        <w:pStyle w:val="ListParagraph"/>
        <w:numPr>
          <w:ilvl w:val="0"/>
          <w:numId w:val="1"/>
        </w:numPr>
      </w:pPr>
      <w:r>
        <w:t xml:space="preserve">A </w:t>
      </w:r>
      <w:r w:rsidR="00374648">
        <w:t xml:space="preserve">venous confirmatory test should be ordered for every child with a </w:t>
      </w:r>
      <w:r>
        <w:t xml:space="preserve">capillary test that indicates a </w:t>
      </w:r>
      <w:r w:rsidR="00E172BB">
        <w:t xml:space="preserve">blood lead level of </w:t>
      </w:r>
      <w:r w:rsidR="00374648">
        <w:t>4.5</w:t>
      </w:r>
      <w:r w:rsidR="00210D55">
        <w:t xml:space="preserve"> </w:t>
      </w:r>
      <w:r w:rsidR="00374648">
        <w:t>mcg/dl and above.  This should be done in the recommended time frame</w:t>
      </w:r>
      <w:r>
        <w:t xml:space="preserve">, </w:t>
      </w:r>
      <w:r w:rsidR="00374648">
        <w:t>depending on the level</w:t>
      </w:r>
      <w:r>
        <w:t>. These recommended times are included in the Provider Quick Reference</w:t>
      </w:r>
    </w:p>
    <w:p w14:paraId="414C3E2F" w14:textId="17E6FB9A" w:rsidR="00374648" w:rsidRDefault="001A51D3" w:rsidP="006B3459">
      <w:pPr>
        <w:pStyle w:val="ListParagraph"/>
        <w:numPr>
          <w:ilvl w:val="0"/>
          <w:numId w:val="1"/>
        </w:numPr>
      </w:pPr>
      <w:r>
        <w:t>The risk assessment questions, included in the Provider Quick Reference, should be gone over with every family not enrolled in Medicaid to determine if a child is at risk and should be tested.</w:t>
      </w:r>
      <w:r w:rsidR="00374648">
        <w:t xml:space="preserve"> </w:t>
      </w:r>
    </w:p>
    <w:p w14:paraId="134EF29A" w14:textId="1968819A" w:rsidR="009203BD" w:rsidRPr="009203BD" w:rsidRDefault="009203BD" w:rsidP="009203BD">
      <w:pPr>
        <w:rPr>
          <w:b/>
          <w:bCs/>
        </w:rPr>
      </w:pPr>
      <w:r w:rsidRPr="009203BD">
        <w:rPr>
          <w:b/>
          <w:bCs/>
        </w:rPr>
        <w:t>What health education resources are available to grantees?</w:t>
      </w:r>
    </w:p>
    <w:p w14:paraId="74361B35" w14:textId="4944AC8D" w:rsidR="0075061A" w:rsidRDefault="009203BD" w:rsidP="006B3459">
      <w:r>
        <w:t xml:space="preserve">CLPPP has developed a number of lead poisoning prevention materials. These are all available on </w:t>
      </w:r>
      <w:hyperlink r:id="rId5" w:history="1">
        <w:r w:rsidRPr="00D54763">
          <w:rPr>
            <w:rStyle w:val="Hyperlink"/>
          </w:rPr>
          <w:t>www.miclppp.org</w:t>
        </w:r>
      </w:hyperlink>
      <w:r>
        <w:t xml:space="preserve">. Please contact CLPPP at </w:t>
      </w:r>
      <w:hyperlink r:id="rId6" w:history="1">
        <w:r w:rsidRPr="00D54763">
          <w:rPr>
            <w:rStyle w:val="Hyperlink"/>
          </w:rPr>
          <w:t>MDHHS-CLPPP@michigan.gov</w:t>
        </w:r>
      </w:hyperlink>
      <w:r>
        <w:t xml:space="preserve"> or 517-335-8885 to request printed materials.</w:t>
      </w:r>
    </w:p>
    <w:p w14:paraId="6A9C8958" w14:textId="7BEC9B73" w:rsidR="00590A80" w:rsidRDefault="00590A80" w:rsidP="006B3459">
      <w:pPr>
        <w:rPr>
          <w:b/>
          <w:bCs/>
        </w:rPr>
      </w:pPr>
      <w:r>
        <w:rPr>
          <w:b/>
          <w:bCs/>
        </w:rPr>
        <w:t>Where do I submit the work plan and quarterly reports?</w:t>
      </w:r>
    </w:p>
    <w:p w14:paraId="3F14783F" w14:textId="123444DD" w:rsidR="00590A80" w:rsidRDefault="00590A80" w:rsidP="006B3459">
      <w:r>
        <w:t xml:space="preserve">All work plans and quarterly reports need to be submitted to </w:t>
      </w:r>
      <w:hyperlink r:id="rId7" w:history="1">
        <w:r w:rsidRPr="0064290D">
          <w:rPr>
            <w:rStyle w:val="Hyperlink"/>
          </w:rPr>
          <w:t>MDHHS-CLPPP@michigan.gov</w:t>
        </w:r>
      </w:hyperlink>
      <w:r>
        <w:t>.</w:t>
      </w:r>
    </w:p>
    <w:tbl>
      <w:tblPr>
        <w:tblStyle w:val="PlainTable1"/>
        <w:tblW w:w="0" w:type="auto"/>
        <w:tblLook w:val="04A0" w:firstRow="1" w:lastRow="0" w:firstColumn="1" w:lastColumn="0" w:noHBand="0" w:noVBand="1"/>
      </w:tblPr>
      <w:tblGrid>
        <w:gridCol w:w="3116"/>
        <w:gridCol w:w="3117"/>
        <w:gridCol w:w="3117"/>
      </w:tblGrid>
      <w:tr w:rsidR="00590A80" w14:paraId="7FEA0F33" w14:textId="77777777" w:rsidTr="00590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B6624F" w14:textId="181C9527" w:rsidR="00590A80" w:rsidRDefault="00590A80" w:rsidP="006B3459">
            <w:r>
              <w:t>Quarter</w:t>
            </w:r>
          </w:p>
        </w:tc>
        <w:tc>
          <w:tcPr>
            <w:tcW w:w="3117" w:type="dxa"/>
          </w:tcPr>
          <w:p w14:paraId="58E661C4" w14:textId="2B120D8A" w:rsidR="00590A80" w:rsidRDefault="00590A80" w:rsidP="006B3459">
            <w:pPr>
              <w:cnfStyle w:val="100000000000" w:firstRow="1" w:lastRow="0" w:firstColumn="0" w:lastColumn="0" w:oddVBand="0" w:evenVBand="0" w:oddHBand="0" w:evenHBand="0" w:firstRowFirstColumn="0" w:firstRowLastColumn="0" w:lastRowFirstColumn="0" w:lastRowLastColumn="0"/>
            </w:pPr>
            <w:r>
              <w:t>Reporting Time Period</w:t>
            </w:r>
          </w:p>
        </w:tc>
        <w:tc>
          <w:tcPr>
            <w:tcW w:w="3117" w:type="dxa"/>
          </w:tcPr>
          <w:p w14:paraId="194179CB" w14:textId="37A104C5" w:rsidR="00590A80" w:rsidRDefault="00590A80" w:rsidP="006B3459">
            <w:pPr>
              <w:cnfStyle w:val="100000000000" w:firstRow="1" w:lastRow="0" w:firstColumn="0" w:lastColumn="0" w:oddVBand="0" w:evenVBand="0" w:oddHBand="0" w:evenHBand="0" w:firstRowFirstColumn="0" w:firstRowLastColumn="0" w:lastRowFirstColumn="0" w:lastRowLastColumn="0"/>
            </w:pPr>
            <w:r>
              <w:t>Due Dates</w:t>
            </w:r>
          </w:p>
        </w:tc>
      </w:tr>
      <w:tr w:rsidR="00590A80" w14:paraId="6A5FCC8C" w14:textId="77777777" w:rsidTr="0059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156090B" w14:textId="04C2DE16" w:rsidR="00590A80" w:rsidRDefault="00590A80" w:rsidP="006B3459">
            <w:r>
              <w:t>1</w:t>
            </w:r>
            <w:r w:rsidRPr="00590A80">
              <w:rPr>
                <w:vertAlign w:val="superscript"/>
              </w:rPr>
              <w:t>st</w:t>
            </w:r>
          </w:p>
        </w:tc>
        <w:tc>
          <w:tcPr>
            <w:tcW w:w="3117" w:type="dxa"/>
          </w:tcPr>
          <w:p w14:paraId="6CA5CC07" w14:textId="0165CFAD" w:rsidR="00590A80" w:rsidRDefault="00590A80" w:rsidP="006B3459">
            <w:pPr>
              <w:cnfStyle w:val="000000100000" w:firstRow="0" w:lastRow="0" w:firstColumn="0" w:lastColumn="0" w:oddVBand="0" w:evenVBand="0" w:oddHBand="1" w:evenHBand="0" w:firstRowFirstColumn="0" w:firstRowLastColumn="0" w:lastRowFirstColumn="0" w:lastRowLastColumn="0"/>
            </w:pPr>
            <w:r>
              <w:t>October 1 – December 31</w:t>
            </w:r>
          </w:p>
        </w:tc>
        <w:tc>
          <w:tcPr>
            <w:tcW w:w="3117" w:type="dxa"/>
          </w:tcPr>
          <w:p w14:paraId="2F910B00" w14:textId="77AEA6E6" w:rsidR="00590A80" w:rsidRDefault="00590A80" w:rsidP="006B3459">
            <w:pPr>
              <w:cnfStyle w:val="000000100000" w:firstRow="0" w:lastRow="0" w:firstColumn="0" w:lastColumn="0" w:oddVBand="0" w:evenVBand="0" w:oddHBand="1" w:evenHBand="0" w:firstRowFirstColumn="0" w:firstRowLastColumn="0" w:lastRowFirstColumn="0" w:lastRowLastColumn="0"/>
            </w:pPr>
            <w:r>
              <w:t>January 30</w:t>
            </w:r>
          </w:p>
        </w:tc>
      </w:tr>
      <w:tr w:rsidR="00590A80" w14:paraId="782BBEA7" w14:textId="77777777" w:rsidTr="00590A80">
        <w:tc>
          <w:tcPr>
            <w:cnfStyle w:val="001000000000" w:firstRow="0" w:lastRow="0" w:firstColumn="1" w:lastColumn="0" w:oddVBand="0" w:evenVBand="0" w:oddHBand="0" w:evenHBand="0" w:firstRowFirstColumn="0" w:firstRowLastColumn="0" w:lastRowFirstColumn="0" w:lastRowLastColumn="0"/>
            <w:tcW w:w="3116" w:type="dxa"/>
          </w:tcPr>
          <w:p w14:paraId="783716FC" w14:textId="24A0F1D1" w:rsidR="00590A80" w:rsidRDefault="00590A80" w:rsidP="006B3459">
            <w:r>
              <w:t>2</w:t>
            </w:r>
            <w:r w:rsidRPr="00590A80">
              <w:rPr>
                <w:vertAlign w:val="superscript"/>
              </w:rPr>
              <w:t>nd</w:t>
            </w:r>
          </w:p>
        </w:tc>
        <w:tc>
          <w:tcPr>
            <w:tcW w:w="3117" w:type="dxa"/>
          </w:tcPr>
          <w:p w14:paraId="7479B29C" w14:textId="0418F51E" w:rsidR="00590A80" w:rsidRDefault="00590A80" w:rsidP="006B3459">
            <w:pPr>
              <w:cnfStyle w:val="000000000000" w:firstRow="0" w:lastRow="0" w:firstColumn="0" w:lastColumn="0" w:oddVBand="0" w:evenVBand="0" w:oddHBand="0" w:evenHBand="0" w:firstRowFirstColumn="0" w:firstRowLastColumn="0" w:lastRowFirstColumn="0" w:lastRowLastColumn="0"/>
            </w:pPr>
            <w:r>
              <w:t>January 1 – March 31</w:t>
            </w:r>
          </w:p>
        </w:tc>
        <w:tc>
          <w:tcPr>
            <w:tcW w:w="3117" w:type="dxa"/>
          </w:tcPr>
          <w:p w14:paraId="7BC60E9E" w14:textId="3CC59E95" w:rsidR="00590A80" w:rsidRDefault="00590A80" w:rsidP="006B3459">
            <w:pPr>
              <w:cnfStyle w:val="000000000000" w:firstRow="0" w:lastRow="0" w:firstColumn="0" w:lastColumn="0" w:oddVBand="0" w:evenVBand="0" w:oddHBand="0" w:evenHBand="0" w:firstRowFirstColumn="0" w:firstRowLastColumn="0" w:lastRowFirstColumn="0" w:lastRowLastColumn="0"/>
            </w:pPr>
            <w:r>
              <w:t>April 30</w:t>
            </w:r>
          </w:p>
        </w:tc>
      </w:tr>
      <w:tr w:rsidR="00590A80" w14:paraId="441D292A" w14:textId="77777777" w:rsidTr="0059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13E053A" w14:textId="1DB54719" w:rsidR="00590A80" w:rsidRDefault="00590A80" w:rsidP="006B3459">
            <w:r>
              <w:t>3</w:t>
            </w:r>
            <w:r w:rsidRPr="00590A80">
              <w:rPr>
                <w:vertAlign w:val="superscript"/>
              </w:rPr>
              <w:t>rd</w:t>
            </w:r>
          </w:p>
        </w:tc>
        <w:tc>
          <w:tcPr>
            <w:tcW w:w="3117" w:type="dxa"/>
          </w:tcPr>
          <w:p w14:paraId="035B65F4" w14:textId="5670D39C" w:rsidR="00590A80" w:rsidRDefault="00590A80" w:rsidP="006B3459">
            <w:pPr>
              <w:cnfStyle w:val="000000100000" w:firstRow="0" w:lastRow="0" w:firstColumn="0" w:lastColumn="0" w:oddVBand="0" w:evenVBand="0" w:oddHBand="1" w:evenHBand="0" w:firstRowFirstColumn="0" w:firstRowLastColumn="0" w:lastRowFirstColumn="0" w:lastRowLastColumn="0"/>
            </w:pPr>
            <w:r>
              <w:t>April 1 – June 30</w:t>
            </w:r>
          </w:p>
        </w:tc>
        <w:tc>
          <w:tcPr>
            <w:tcW w:w="3117" w:type="dxa"/>
          </w:tcPr>
          <w:p w14:paraId="6462F9FC" w14:textId="40B99DF0" w:rsidR="00590A80" w:rsidRDefault="00590A80" w:rsidP="006B3459">
            <w:pPr>
              <w:cnfStyle w:val="000000100000" w:firstRow="0" w:lastRow="0" w:firstColumn="0" w:lastColumn="0" w:oddVBand="0" w:evenVBand="0" w:oddHBand="1" w:evenHBand="0" w:firstRowFirstColumn="0" w:firstRowLastColumn="0" w:lastRowFirstColumn="0" w:lastRowLastColumn="0"/>
            </w:pPr>
            <w:r>
              <w:t>July 30</w:t>
            </w:r>
          </w:p>
        </w:tc>
      </w:tr>
      <w:tr w:rsidR="00590A80" w14:paraId="0BC481E5" w14:textId="77777777" w:rsidTr="00590A80">
        <w:tc>
          <w:tcPr>
            <w:cnfStyle w:val="001000000000" w:firstRow="0" w:lastRow="0" w:firstColumn="1" w:lastColumn="0" w:oddVBand="0" w:evenVBand="0" w:oddHBand="0" w:evenHBand="0" w:firstRowFirstColumn="0" w:firstRowLastColumn="0" w:lastRowFirstColumn="0" w:lastRowLastColumn="0"/>
            <w:tcW w:w="3116" w:type="dxa"/>
          </w:tcPr>
          <w:p w14:paraId="68702E70" w14:textId="5F9675DB" w:rsidR="00590A80" w:rsidRDefault="00590A80" w:rsidP="006B3459">
            <w:r>
              <w:t>4</w:t>
            </w:r>
            <w:r w:rsidRPr="00590A80">
              <w:rPr>
                <w:vertAlign w:val="superscript"/>
              </w:rPr>
              <w:t>th</w:t>
            </w:r>
            <w:r>
              <w:t xml:space="preserve"> </w:t>
            </w:r>
          </w:p>
        </w:tc>
        <w:tc>
          <w:tcPr>
            <w:tcW w:w="3117" w:type="dxa"/>
          </w:tcPr>
          <w:p w14:paraId="32B27EE4" w14:textId="6102D93E" w:rsidR="00590A80" w:rsidRDefault="00590A80" w:rsidP="006B3459">
            <w:pPr>
              <w:cnfStyle w:val="000000000000" w:firstRow="0" w:lastRow="0" w:firstColumn="0" w:lastColumn="0" w:oddVBand="0" w:evenVBand="0" w:oddHBand="0" w:evenHBand="0" w:firstRowFirstColumn="0" w:firstRowLastColumn="0" w:lastRowFirstColumn="0" w:lastRowLastColumn="0"/>
            </w:pPr>
            <w:r>
              <w:t>July 1 – September 30</w:t>
            </w:r>
          </w:p>
        </w:tc>
        <w:tc>
          <w:tcPr>
            <w:tcW w:w="3117" w:type="dxa"/>
          </w:tcPr>
          <w:p w14:paraId="04BAC281" w14:textId="558F3224" w:rsidR="00590A80" w:rsidRDefault="00590A80" w:rsidP="006B3459">
            <w:pPr>
              <w:cnfStyle w:val="000000000000" w:firstRow="0" w:lastRow="0" w:firstColumn="0" w:lastColumn="0" w:oddVBand="0" w:evenVBand="0" w:oddHBand="0" w:evenHBand="0" w:firstRowFirstColumn="0" w:firstRowLastColumn="0" w:lastRowFirstColumn="0" w:lastRowLastColumn="0"/>
            </w:pPr>
            <w:r>
              <w:t>October 30</w:t>
            </w:r>
          </w:p>
        </w:tc>
      </w:tr>
    </w:tbl>
    <w:p w14:paraId="7A429F3C" w14:textId="77777777" w:rsidR="00590A80" w:rsidRPr="00590A80" w:rsidRDefault="00590A80" w:rsidP="006B3459">
      <w:bookmarkStart w:id="0" w:name="_GoBack"/>
      <w:bookmarkEnd w:id="0"/>
    </w:p>
    <w:sectPr w:rsidR="00590A80" w:rsidRPr="0059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C0979"/>
    <w:multiLevelType w:val="hybridMultilevel"/>
    <w:tmpl w:val="188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59"/>
    <w:rsid w:val="00141001"/>
    <w:rsid w:val="001935CD"/>
    <w:rsid w:val="001A51D3"/>
    <w:rsid w:val="00210D55"/>
    <w:rsid w:val="0022493D"/>
    <w:rsid w:val="00374648"/>
    <w:rsid w:val="00590A80"/>
    <w:rsid w:val="006B3459"/>
    <w:rsid w:val="0075061A"/>
    <w:rsid w:val="007C6E37"/>
    <w:rsid w:val="009203BD"/>
    <w:rsid w:val="00A52E7E"/>
    <w:rsid w:val="00B145B2"/>
    <w:rsid w:val="00D40DCB"/>
    <w:rsid w:val="00DC1669"/>
    <w:rsid w:val="00E172BB"/>
    <w:rsid w:val="00F315DA"/>
    <w:rsid w:val="00F6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1821"/>
  <w15:chartTrackingRefBased/>
  <w15:docId w15:val="{39EC9977-099C-450A-82A8-23EB33FB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D3"/>
    <w:pPr>
      <w:ind w:left="720"/>
      <w:contextualSpacing/>
    </w:pPr>
  </w:style>
  <w:style w:type="character" w:styleId="Hyperlink">
    <w:name w:val="Hyperlink"/>
    <w:basedOn w:val="DefaultParagraphFont"/>
    <w:uiPriority w:val="99"/>
    <w:unhideWhenUsed/>
    <w:rsid w:val="009203BD"/>
    <w:rPr>
      <w:color w:val="0563C1" w:themeColor="hyperlink"/>
      <w:u w:val="single"/>
    </w:rPr>
  </w:style>
  <w:style w:type="character" w:styleId="UnresolvedMention">
    <w:name w:val="Unresolved Mention"/>
    <w:basedOn w:val="DefaultParagraphFont"/>
    <w:uiPriority w:val="99"/>
    <w:semiHidden/>
    <w:unhideWhenUsed/>
    <w:rsid w:val="009203BD"/>
    <w:rPr>
      <w:color w:val="605E5C"/>
      <w:shd w:val="clear" w:color="auto" w:fill="E1DFDD"/>
    </w:rPr>
  </w:style>
  <w:style w:type="table" w:styleId="TableGrid">
    <w:name w:val="Table Grid"/>
    <w:basedOn w:val="TableNormal"/>
    <w:uiPriority w:val="39"/>
    <w:rsid w:val="0059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0A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HHS-CLPPP@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HHS-CLPPP@michigan.gov" TargetMode="External"/><Relationship Id="rId5" Type="http://schemas.openxmlformats.org/officeDocument/2006/relationships/hyperlink" Target="http://www.miclpp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Lishinski, Karen (DHHS-Contractor)</dc:creator>
  <cp:keywords/>
  <dc:description/>
  <cp:lastModifiedBy>Medina, Angela (DHHS-Contractor)</cp:lastModifiedBy>
  <cp:revision>8</cp:revision>
  <dcterms:created xsi:type="dcterms:W3CDTF">2019-07-31T15:50:00Z</dcterms:created>
  <dcterms:modified xsi:type="dcterms:W3CDTF">2019-07-31T19:01:00Z</dcterms:modified>
</cp:coreProperties>
</file>